
<file path=[Content_Types].xml><?xml version="1.0" encoding="utf-8"?>
<Types xmlns="http://schemas.openxmlformats.org/package/2006/content-types">
  <Default Extension="xml" ContentType="application/xml"/>
  <Default Extension="jpeg" ContentType="image/jpeg"/>
  <Default Extension="wmf" ContentType="image/x-wmf"/>
  <Default Extension="png" ContentType="image/png"/>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webSettings.xml" ContentType="application/vnd.openxmlformats-officedocument.wordprocessingml.webSetting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005E951">
      <w:pPr>
        <w:pBdr/>
        <w:spacing w:after="40"/>
        <w:ind/>
        <w:jc w:val="center"/>
        <w:rPr/>
      </w:pPr>
      <w:r>
        <w:rPr>
          <w:b/>
          <w:bCs/>
          <w:sz w:val="20"/>
          <w:szCs w:val="20"/>
          <w:lang w:val="hr-HR"/>
        </w:rPr>
        <w:t xml:space="preserve">IRI CENTAR d.o.o.</w:t>
      </w:r>
      <w:r/>
    </w:p>
    <w:p w14:paraId="0CF1598C">
      <w:pPr>
        <w:pBdr/>
        <w:spacing w:after="40"/>
        <w:ind/>
        <w:jc w:val="center"/>
        <w:rPr/>
      </w:pPr>
      <w:r>
        <w:rPr>
          <w:color w:val="555555"/>
          <w:sz w:val="18"/>
          <w:szCs w:val="18"/>
          <w:lang w:val="hr-HR"/>
        </w:rPr>
        <w:t xml:space="preserve">Cesta dr. Franje Tuđmana 273, Kaštel Gomilica</w:t>
      </w:r>
      <w:r/>
    </w:p>
    <w:p w14:paraId="375A5197">
      <w:pPr>
        <w:pBdr/>
        <w:spacing w:after="300"/>
        <w:ind/>
        <w:jc w:val="center"/>
        <w:rPr/>
      </w:pPr>
      <w:r>
        <w:rPr>
          <w:color w:val="555555"/>
          <w:sz w:val="18"/>
          <w:szCs w:val="18"/>
          <w:lang w:val="hr-HR"/>
        </w:rPr>
        <w:t xml:space="preserve">Datum objave: 27.8.2026.</w:t>
      </w:r>
      <w:r>
        <w:rPr>
          <w:color w:val="555555"/>
          <w:sz w:val="18"/>
          <w:szCs w:val="18"/>
        </w:rPr>
      </w:r>
      <w:r/>
    </w:p>
    <w:p>
      <w:pPr>
        <w:pStyle w:val="907"/>
        <w:pBdr/>
        <w:spacing w:after="100"/>
        <w:ind/>
        <w:jc w:val="center"/>
        <w:rPr/>
      </w:pPr>
      <w:r>
        <w:rPr>
          <w:b/>
          <w:bCs/>
          <w:sz w:val="30"/>
          <w:szCs w:val="30"/>
        </w:rPr>
        <w:t xml:space="preserve">PROGRAM DODJELE POTPORA MALE VRIJEDNOSTI (DE MINIMIS)</w:t>
      </w:r>
      <w:r/>
    </w:p>
    <w:p>
      <w:pPr>
        <w:pStyle w:val="898"/>
        <w:pBdr/>
        <w:spacing w:after="60"/>
        <w:ind/>
        <w:jc w:val="center"/>
        <w:rPr/>
      </w:pPr>
      <w:r>
        <w:rPr>
          <w:b/>
          <w:bCs/>
          <w:i/>
          <w:iCs/>
          <w:sz w:val="26"/>
          <w:szCs w:val="26"/>
        </w:rPr>
        <w:t xml:space="preserve">"IRI HUB vaučer"</w:t>
      </w:r>
      <w:r/>
    </w:p>
    <w:p>
      <w:pPr>
        <w:pBdr/>
        <w:spacing w:after="300"/>
        <w:ind/>
        <w:jc w:val="center"/>
        <w:rPr/>
      </w:pPr>
      <w:r>
        <w:rPr>
          <w:i/>
          <w:iCs/>
          <w:color w:val="555555"/>
          <w:sz w:val="20"/>
          <w:szCs w:val="20"/>
        </w:rPr>
        <w:t xml:space="preserve">(potpora u obliku prava na privremeno korištenje poslovnog prostora u trajanju do 40, 80 ili 160 sati, namijenjena mikro i malim poduzetnicima)</w:t>
      </w:r>
      <w:r/>
    </w:p>
    <w:p>
      <w:pPr>
        <w:pStyle w:val="899"/>
        <w:pBdr/>
        <w:spacing w:after="100" w:before="220"/>
        <w:ind/>
        <w:jc w:val="center"/>
        <w:rPr>
          <w14:ligatures w14:val="none"/>
        </w:rPr>
      </w:pPr>
      <w:r>
        <w:t xml:space="preserve">Članak 1. – Predmet i pravna osnova</w:t>
      </w:r>
      <w:r>
        <w:rPr>
          <w14:ligatures w14:val="none"/>
        </w:rPr>
      </w:r>
    </w:p>
    <w:p>
      <w:pPr>
        <w:pBdr/>
        <w:spacing w:after="140"/>
        <w:ind/>
        <w:jc w:val="both"/>
        <w:rPr/>
      </w:pPr>
      <w:r>
        <w:t xml:space="preserve">(1) Ovim se Programom uređuju uvjeti, opseg i postupak dodjele potpora ma</w:t>
      </w:r>
      <w:r>
        <w:t xml:space="preserve">le vrijednosti (u daljnjem tekstu: de </w:t>
      </w:r>
      <w:r>
        <w:t xml:space="preserve">minimis</w:t>
      </w:r>
      <w:r>
        <w:t xml:space="preserve"> potpore) u obliku prava na privremeno korištenje IRI HUB učionice, na adresi Polinovac 8, Kaštel Novi,  u posjedu </w:t>
      </w:r>
      <w:r>
        <w:rPr>
          <w:b/>
        </w:rPr>
        <w:t xml:space="preserve">IRI CENTAR d.o.o.</w:t>
      </w:r>
      <w:r>
        <w:t xml:space="preserve"> (u daljnjem tekstu: Davatelj), u ukupnom trajan</w:t>
      </w:r>
      <w:r>
        <w:t xml:space="preserve">ju do 40, 80 ili 160 sati po jednom korisniku, ovisno o odabranoj kategoriji vaučera iz članka 6. ovog Programa, koje korisnik ostvaruje putem vaučera unutar određenog razdoblja važenja, uz vlastito novčano sudjelovanje (polog) sukladno članku 7. ovog Prog</w:t>
      </w:r>
      <w:r>
        <w:t xml:space="preserve">rama.</w:t>
      </w:r>
      <w:r/>
    </w:p>
    <w:p>
      <w:pPr>
        <w:pBdr/>
        <w:spacing w:after="140"/>
        <w:ind/>
        <w:rPr/>
      </w:pPr>
      <w:r>
        <w:t xml:space="preserve">(2) Program se donosi na temelju:</w:t>
      </w:r>
      <w:r/>
    </w:p>
    <w:p>
      <w:pPr>
        <w:pStyle w:val="909"/>
        <w:numPr>
          <w:ilvl w:val="0"/>
          <w:numId w:val="1"/>
        </w:numPr>
        <w:pBdr/>
        <w:spacing w:after="60"/>
        <w:ind/>
        <w:rPr/>
      </w:pPr>
      <w:r>
        <w:t xml:space="preserve">Zakona o državnim potporama ("Narodne novine", br. 47/14 i 69/17), članak 10.,</w:t>
      </w:r>
      <w:r/>
    </w:p>
    <w:p>
      <w:pPr>
        <w:pStyle w:val="909"/>
        <w:numPr>
          <w:ilvl w:val="0"/>
          <w:numId w:val="1"/>
        </w:numPr>
        <w:pBdr/>
        <w:spacing w:after="60"/>
        <w:ind/>
        <w:rPr/>
      </w:pPr>
      <w:r>
        <w:t xml:space="preserve">Uredbe Komisije (EU) 2023/2831 od 13. prosinca 2023. o primjeni članaka 107. i 108. Ugovora o funkcioniranju Europske unije na de </w:t>
      </w:r>
      <w:r>
        <w:t xml:space="preserve">minimis</w:t>
      </w:r>
      <w:r>
        <w:t xml:space="preserve"> potpore (SL EU L 2023/2831; u daljnjem tekstu: Uredba),</w:t>
      </w:r>
      <w:r/>
    </w:p>
    <w:p>
      <w:pPr>
        <w:pStyle w:val="909"/>
        <w:numPr>
          <w:ilvl w:val="0"/>
          <w:numId w:val="1"/>
        </w:numPr>
        <w:pBdr/>
        <w:spacing w:after="60"/>
        <w:ind/>
        <w:rPr/>
      </w:pPr>
      <w:r>
        <w:t xml:space="preserve">O</w:t>
      </w:r>
      <w:r>
        <w:t xml:space="preserve">dluke </w:t>
      </w:r>
      <w:r>
        <w:t xml:space="preserve">Davatelja o usvajanju ovog Programa od </w:t>
      </w:r>
      <w:r>
        <w:t xml:space="preserve">31</w:t>
      </w:r>
      <w:r>
        <w:t xml:space="preserve">.</w:t>
      </w:r>
      <w:r>
        <w:t xml:space="preserve">07</w:t>
      </w:r>
      <w:r>
        <w:t xml:space="preserve">. 20</w:t>
      </w:r>
      <w:r>
        <w:t xml:space="preserve">26</w:t>
      </w:r>
      <w:r>
        <w:t xml:space="preserve">.</w:t>
      </w:r>
      <w:r/>
    </w:p>
    <w:p>
      <w:pPr>
        <w:pBdr/>
        <w:spacing w:after="140"/>
        <w:ind/>
        <w:rPr/>
      </w:pPr>
      <w:r>
        <w:t xml:space="preserve">(3) Program je namijenjen isključivo mikro poduzetnicima, suklad</w:t>
      </w:r>
      <w:r>
        <w:t xml:space="preserve">no defi</w:t>
      </w:r>
      <w:r>
        <w:t xml:space="preserve">niciji iz Priloga I. Uredbe Komisije (EU) br. 651/2014 od 17. lipnja 2014. o ocjenjivanju određenih kategorija potpora spojivima s unutarnjim tržištem (SL EU L 187, 26.6.2014.). Mali i srednji poduzetnici, u smislu iste definicije, nisu prihvatljivi prijav</w:t>
      </w:r>
      <w:r>
        <w:t xml:space="preserve">itelji te ne mogu ostvariti potporu prema ovom Programu.</w:t>
      </w:r>
      <w:r/>
    </w:p>
    <w:p>
      <w:pPr>
        <w:pStyle w:val="899"/>
        <w:pBdr/>
        <w:spacing w:after="100" w:before="220"/>
        <w:ind/>
        <w:rPr/>
      </w:pPr>
      <w:r>
        <w:t xml:space="preserve">Članak 2. – Davatelj potpore</w:t>
      </w:r>
      <w:r/>
    </w:p>
    <w:p>
      <w:pPr>
        <w:pBdr/>
        <w:spacing w:after="140"/>
        <w:ind/>
        <w:rPr/>
      </w:pPr>
      <w:r>
        <w:t xml:space="preserve">Davatelj potpore u smislu ovog Programa je:</w:t>
      </w:r>
      <w:r/>
    </w:p>
    <w:p>
      <w:pPr>
        <w:pStyle w:val="909"/>
        <w:numPr>
          <w:ilvl w:val="0"/>
          <w:numId w:val="1"/>
        </w:numPr>
        <w:pBdr/>
        <w:spacing w:after="60"/>
        <w:ind/>
        <w:rPr/>
      </w:pPr>
      <w:r>
        <w:t xml:space="preserve">Naziv: IRI CENTAR d.o.o.</w:t>
      </w:r>
      <w:r/>
    </w:p>
    <w:p>
      <w:pPr>
        <w:pStyle w:val="909"/>
        <w:numPr>
          <w:ilvl w:val="0"/>
          <w:numId w:val="1"/>
        </w:numPr>
        <w:pBdr/>
        <w:spacing w:after="60"/>
        <w:ind/>
        <w:rPr/>
      </w:pPr>
      <w:r>
        <w:t xml:space="preserve">OIB: </w:t>
      </w:r>
      <w:r>
        <w:t xml:space="preserve">70926422788</w:t>
      </w:r>
      <w:r/>
    </w:p>
    <w:p>
      <w:pPr>
        <w:pStyle w:val="909"/>
        <w:numPr>
          <w:ilvl w:val="0"/>
          <w:numId w:val="1"/>
        </w:numPr>
        <w:pBdr/>
        <w:spacing w:after="60"/>
        <w:ind/>
        <w:rPr/>
      </w:pPr>
      <w:r>
        <w:t xml:space="preserve">Sjedište/adresa:</w:t>
      </w:r>
      <w:r>
        <w:t xml:space="preserve"> Cesta dr. Franje Tuđmana 273, Kaštel Gomilica</w:t>
      </w:r>
      <w:r/>
    </w:p>
    <w:p>
      <w:pPr>
        <w:pStyle w:val="909"/>
        <w:numPr>
          <w:ilvl w:val="0"/>
          <w:numId w:val="1"/>
        </w:numPr>
        <w:pBdr/>
        <w:spacing w:after="60"/>
        <w:ind/>
        <w:rPr/>
      </w:pPr>
      <w:r>
        <w:t xml:space="preserve">Odgovorna osoba: </w:t>
      </w:r>
      <w:r>
        <w:t xml:space="preserve">Goran Pavlov, direktor</w:t>
      </w:r>
      <w:r/>
    </w:p>
    <w:p>
      <w:pPr>
        <w:pStyle w:val="909"/>
        <w:numPr>
          <w:ilvl w:val="0"/>
          <w:numId w:val="1"/>
        </w:numPr>
        <w:pBdr/>
        <w:spacing w:after="60"/>
        <w:ind/>
        <w:rPr/>
      </w:pPr>
      <w:r>
        <w:t xml:space="preserve">Kontakt:</w:t>
      </w:r>
      <w:r>
        <w:t xml:space="preserve"> </w:t>
      </w:r>
      <w:r>
        <w:t xml:space="preserve">iricentar@iricentar.hr</w:t>
      </w:r>
      <w:r/>
    </w:p>
    <w:p>
      <w:pPr>
        <w:pStyle w:val="899"/>
        <w:pBdr/>
        <w:spacing w:after="100" w:before="220"/>
        <w:ind/>
        <w:rPr/>
      </w:pPr>
      <w:r>
        <w:t xml:space="preserve">Članak 3. – Cilj i svrha Programa</w:t>
      </w:r>
      <w:r/>
    </w:p>
    <w:p>
      <w:pPr>
        <w:pBdr/>
        <w:spacing w:after="140"/>
        <w:ind/>
        <w:jc w:val="both"/>
        <w:rPr/>
      </w:pPr>
      <w:r>
        <w:t xml:space="preserve">Cilj Programa je poticanje razvoja poduzetništva, cjeloživotnog obrazovanja, umrežavanja i suradnje poduzetnika na području grada Kaštela omogućavanjem povlaštenog koriš</w:t>
      </w:r>
      <w:r>
        <w:t xml:space="preserve">tenja odgovarajuće opremljenog prostora za edukacije, radionice, poslovne sastanke, prezentacije, predstavljanje proizvoda/usluga i slične poslovne aktivnosti korisnika, s posebnim naglaskom na jačanje kapaciteta mikro poduzetnika. </w:t>
      </w:r>
      <w:r/>
    </w:p>
    <w:p>
      <w:pPr>
        <w:pStyle w:val="899"/>
        <w:pBdr/>
        <w:spacing w:after="100" w:before="220"/>
        <w:ind/>
        <w:rPr/>
      </w:pPr>
      <w:r>
        <w:t xml:space="preserve">Članak 4. – Pojmovi</w:t>
      </w:r>
      <w:r/>
    </w:p>
    <w:p>
      <w:pPr>
        <w:pStyle w:val="909"/>
        <w:numPr>
          <w:ilvl w:val="0"/>
          <w:numId w:val="1"/>
        </w:numPr>
        <w:pBdr/>
        <w:spacing w:after="60"/>
        <w:ind/>
        <w:rPr/>
      </w:pPr>
      <w:r>
        <w:t xml:space="preserve">Vaučer – interni dokument Davatelja kojim se korisniku dodjeljuje pravo na korištenje prostora u ukupnom trajanju od 40, 80 ili 160 sati (ovisno o kategoriji iz članka 6. ovog Programa) unutar razdoblja važenja.</w:t>
      </w:r>
      <w:r/>
    </w:p>
    <w:p>
      <w:pPr>
        <w:pStyle w:val="909"/>
        <w:numPr>
          <w:ilvl w:val="0"/>
          <w:numId w:val="1"/>
        </w:numPr>
        <w:pBdr/>
        <w:spacing w:after="60"/>
        <w:ind/>
        <w:rPr/>
      </w:pPr>
      <w:r>
        <w:t xml:space="preserve">Sat korištenja – jedan puni sat stvarnog korištenja prostora od strane korisnika, evidentiran u Evidencijskom listu iz članka 10. ovog Programa.</w:t>
      </w:r>
      <w:r/>
    </w:p>
    <w:p>
      <w:pPr>
        <w:pStyle w:val="909"/>
        <w:numPr>
          <w:ilvl w:val="0"/>
          <w:numId w:val="1"/>
        </w:numPr>
        <w:pBdr/>
        <w:spacing w:after="60"/>
        <w:ind/>
        <w:rPr/>
      </w:pPr>
      <w:r>
        <w:t xml:space="preserve">Korisnik – poduzetnik kojem je dodijeljena de </w:t>
      </w:r>
      <w:r>
        <w:t xml:space="preserve">minimis</w:t>
      </w:r>
      <w:r>
        <w:t xml:space="preserve"> potpora sukladno ovom Programu.</w:t>
      </w:r>
      <w:r/>
    </w:p>
    <w:p>
      <w:pPr>
        <w:pStyle w:val="909"/>
        <w:numPr>
          <w:ilvl w:val="0"/>
          <w:numId w:val="1"/>
        </w:numPr>
        <w:pBdr/>
        <w:spacing w:after="60"/>
        <w:ind/>
        <w:rPr/>
      </w:pPr>
      <w:r>
        <w:t xml:space="preserve">Jedan poduzetnik – poduze</w:t>
      </w:r>
      <w:r>
        <w:t xml:space="preserve">tnik u smislu članka 2. stavka 2. Uredbe, koji uključuje sva međusobno povezana društva prema kriterijima iz navedene odredbe.</w:t>
      </w:r>
      <w:r/>
    </w:p>
    <w:p>
      <w:pPr>
        <w:pStyle w:val="909"/>
        <w:numPr>
          <w:ilvl w:val="0"/>
          <w:numId w:val="1"/>
        </w:numPr>
        <w:pBdr/>
        <w:spacing w:after="60"/>
        <w:ind/>
        <w:rPr/>
      </w:pPr>
      <w:r>
        <w:t xml:space="preserve">Mikro poduzetnik – poduzetnik koji zapošljava manje od 10 osoba i čiji godišnji promet i/ili godišnja bilanca ne prelazi 2 miliju</w:t>
      </w:r>
      <w:r>
        <w:t xml:space="preserve">na EUR, sukladno članku 2. Priloga I. Uredbe Komisije (EU) br. 651/2014.</w:t>
      </w:r>
      <w:r/>
    </w:p>
    <w:p>
      <w:pPr>
        <w:pStyle w:val="899"/>
        <w:pBdr/>
        <w:spacing w:after="100" w:before="220"/>
        <w:ind/>
        <w:rPr/>
      </w:pPr>
      <w:r>
        <w:t xml:space="preserve">Članak 5. – Korisnici potpore (prihvatljivost)</w:t>
      </w:r>
      <w:r/>
    </w:p>
    <w:p>
      <w:pPr>
        <w:pBdr/>
        <w:spacing w:after="140"/>
        <w:ind/>
        <w:rPr/>
      </w:pPr>
      <w:r>
        <w:t xml:space="preserve">(1) Pravo na podnošenje prijave za dodjelu potpore prema ovom Programu imaju isključivo mikro poduzetnici (uključujući obrte, slobodna zanimanja i zadruge) registrirani i aktivni u Re</w:t>
      </w:r>
      <w:r>
        <w:t xml:space="preserve">publici Hrvatskoj, koji obavljaju gospodarsku djelatnost.</w:t>
      </w:r>
      <w:r/>
    </w:p>
    <w:p>
      <w:pPr>
        <w:pBdr/>
        <w:spacing w:after="140"/>
        <w:ind/>
        <w:rPr/>
      </w:pPr>
      <w:r>
        <w:t xml:space="preserve">(2) Veličina poduzetnika utvrđuje se sukladno definicijama iz članka 4. ovog Programa, odnosno Prilogu I. Uredbe Komisije (EU) br. 651/2014, uzimajući u obzir i podatke povezanih i partnerskih poduz</w:t>
      </w:r>
      <w:r>
        <w:t xml:space="preserve">etnika, ako postoje. Mali, srednji poduzetnici, kao ni veliki poduzetnici, nisu prihvatljivi prijavitelji te njihove prijave Davatelj odbija kao neprihvatljive, neovisno o ispunjenju ostalih uvjeta iz ovog članka.</w:t>
      </w:r>
      <w:r/>
    </w:p>
    <w:p>
      <w:pPr>
        <w:pBdr/>
        <w:spacing w:after="140"/>
        <w:ind/>
        <w:rPr/>
      </w:pPr>
      <w:r>
        <w:t xml:space="preserve">(3) Uz uvjete iz stavka 1. i 2. ovog članka, pri</w:t>
      </w:r>
      <w:r>
        <w:t xml:space="preserve">javitelj mora imati sjedište, odnosno registriranu poslovnu jedinicu (podružnicu, pogon, poslovni prostor i sl.), na području Grada Kaštela te na tom području stvarno i neprekidno obavljati djelatnost najmanje 12 (dvanaest) mjeseci prije dana podnošenja pr</w:t>
      </w:r>
      <w:r>
        <w:t xml:space="preserve">ijave.</w:t>
      </w:r>
      <w:r/>
    </w:p>
    <w:p>
      <w:pPr>
        <w:pBdr/>
        <w:spacing w:after="140"/>
        <w:ind/>
        <w:rPr/>
      </w:pPr>
      <w:r>
        <w:t xml:space="preserve">(4) Ispunjenje uvjeta iz stavka 3. ovog članka prijavitelj dokazuje online pregledom registra ili izvatkom iz nadležnog registra (sudski registar za trgovačka društva, Obrtni registar za obrte, odnosno drugi odgovarajući registar ovisno o pravnom obliku prijavitelja).</w:t>
      </w:r>
      <w:r/>
    </w:p>
    <w:p>
      <w:pPr>
        <w:pBdr/>
        <w:spacing w:after="140"/>
        <w:ind/>
        <w:rPr/>
      </w:pPr>
      <w:r>
        <w:t xml:space="preserve">(5) Potpora se ne može dodijeliti poduzetnicima:</w:t>
      </w:r>
      <w:r/>
    </w:p>
    <w:p>
      <w:pPr>
        <w:pStyle w:val="909"/>
        <w:numPr>
          <w:ilvl w:val="0"/>
          <w:numId w:val="1"/>
        </w:numPr>
        <w:pBdr/>
        <w:spacing w:after="60"/>
        <w:ind/>
        <w:rPr/>
      </w:pPr>
      <w:r>
        <w:t xml:space="preserve">koji djeluju u sektoru ribarstva i akvakulture, osim ako je potpora izuzeta sukladno posebnim odredbama Uredbe,</w:t>
      </w:r>
      <w:r/>
    </w:p>
    <w:p>
      <w:pPr>
        <w:pStyle w:val="909"/>
        <w:numPr>
          <w:ilvl w:val="0"/>
          <w:numId w:val="1"/>
        </w:numPr>
        <w:pBdr/>
        <w:spacing w:after="60"/>
        <w:ind/>
        <w:rPr/>
      </w:pPr>
      <w:r>
        <w:t xml:space="preserve">koji se bave primarnom proizvodnjom poljoprivrednih proizvoda, u dijelu u koj</w:t>
      </w:r>
      <w:r>
        <w:t xml:space="preserve">em bi se potpora odnosila na tu djelatnost,</w:t>
      </w:r>
      <w:r/>
    </w:p>
    <w:p>
      <w:pPr>
        <w:pStyle w:val="909"/>
        <w:numPr>
          <w:ilvl w:val="0"/>
          <w:numId w:val="1"/>
        </w:numPr>
        <w:pBdr/>
        <w:spacing w:after="60"/>
        <w:ind/>
        <w:rPr/>
      </w:pPr>
      <w:r>
        <w:t xml:space="preserve">kojima je potpora uvjetovana korištenjem domaćih proizvoda umjesto uvoznih, ili je vezana uz izvozne aktivnosti (potpore izravno vezane uz izvezene količine, uspostavu i funkcioniranje distribucijske mreže ili druge tekuće troškove povezane s izvoznom djel</w:t>
      </w:r>
      <w:r>
        <w:t xml:space="preserve">atnošću),</w:t>
      </w:r>
      <w:r/>
    </w:p>
    <w:p>
      <w:pPr>
        <w:pStyle w:val="909"/>
        <w:numPr>
          <w:ilvl w:val="0"/>
          <w:numId w:val="1"/>
        </w:numPr>
        <w:pBdr/>
        <w:spacing w:after="60"/>
        <w:ind/>
        <w:rPr/>
      </w:pPr>
      <w:r>
        <w:t xml:space="preserve">za koje bi dodjela ove potpore dovela do prekoračenja gornje granice de </w:t>
      </w:r>
      <w:r>
        <w:t xml:space="preserve">minimis</w:t>
      </w:r>
      <w:r>
        <w:t xml:space="preserve"> potpore iz članka 8. ovog Programa.</w:t>
      </w:r>
      <w:r/>
    </w:p>
    <w:p>
      <w:pPr>
        <w:pBdr/>
        <w:spacing w:after="140"/>
        <w:ind/>
        <w:rPr/>
      </w:pPr>
      <w:r>
        <w:t xml:space="preserve">(6) Prihvatljivost prijavitelja, uključujući veličinu poduzetnika, utvrđuje Davatelj na temelju Prijavnog obrasca (Prilog 1), pril</w:t>
      </w:r>
      <w:r>
        <w:t xml:space="preserve">oženog izvatka iz registra iz stavka 4. ovog članka i Izjave prijavitelja (Prilog 2).</w:t>
      </w:r>
      <w:r/>
    </w:p>
    <w:p>
      <w:pPr>
        <w:pStyle w:val="899"/>
        <w:pBdr/>
        <w:spacing w:after="100" w:before="220"/>
        <w:ind/>
        <w:rPr/>
      </w:pPr>
      <w:r>
        <w:t xml:space="preserve">Članak 6. – Oblik, kategorije i sadržaj potpore</w:t>
      </w:r>
      <w:r/>
    </w:p>
    <w:p>
      <w:pPr>
        <w:pBdr/>
        <w:spacing w:after="140"/>
        <w:ind/>
        <w:jc w:val="both"/>
        <w:rPr/>
      </w:pPr>
      <w:r>
        <w:t xml:space="preserve">(1) Potpora se dodjeljuje u nenovčanom obliku, kao pravo na korištenje prostora iz članka 1. ovog Programa u vr</w:t>
      </w:r>
      <w:r>
        <w:t xml:space="preserve">ijednosti od 80% tržišne cijene po satu, uz obvezno vlastito novčano sudjelovanje korisnika (polog) u visini 20% tržišne cijene po satu, sukladno članku 7. ovog Programa.</w:t>
      </w:r>
      <w:r/>
    </w:p>
    <w:p>
      <w:pPr>
        <w:pBdr/>
        <w:spacing w:after="140"/>
        <w:ind/>
        <w:jc w:val="both"/>
        <w:rPr/>
      </w:pPr>
      <w:r>
        <w:t xml:space="preserve">(2) Vaučer se, prema odabiru korisnika u prijavi i raspoloživosti prostora Davatelja,</w:t>
      </w:r>
      <w:r>
        <w:t xml:space="preserve"> izdaje u jednoj od sljedeće tri kategorije:</w:t>
      </w:r>
      <w:r/>
    </w:p>
    <w:p>
      <w:pPr>
        <w:pStyle w:val="909"/>
        <w:numPr>
          <w:ilvl w:val="0"/>
          <w:numId w:val="1"/>
        </w:numPr>
        <w:pBdr/>
        <w:spacing w:after="60"/>
        <w:ind/>
        <w:jc w:val="both"/>
        <w:rPr/>
      </w:pPr>
      <w:r>
        <w:t xml:space="preserve">Mali vaučer – 40 sati,</w:t>
      </w:r>
      <w:r/>
    </w:p>
    <w:p>
      <w:pPr>
        <w:pStyle w:val="909"/>
        <w:numPr>
          <w:ilvl w:val="0"/>
          <w:numId w:val="1"/>
        </w:numPr>
        <w:pBdr/>
        <w:spacing w:after="60"/>
        <w:ind/>
        <w:jc w:val="both"/>
        <w:rPr/>
      </w:pPr>
      <w:r>
        <w:t xml:space="preserve">Srednji vaučer – 80 sati,</w:t>
      </w:r>
      <w:r/>
    </w:p>
    <w:p>
      <w:pPr>
        <w:pStyle w:val="909"/>
        <w:numPr>
          <w:ilvl w:val="0"/>
          <w:numId w:val="1"/>
        </w:numPr>
        <w:pBdr/>
        <w:spacing w:after="60"/>
        <w:ind/>
        <w:jc w:val="both"/>
        <w:rPr/>
      </w:pPr>
      <w:r>
        <w:t xml:space="preserve">Veliki vaučer – 160 sati.</w:t>
      </w:r>
      <w:r/>
    </w:p>
    <w:p>
      <w:pPr>
        <w:pBdr/>
        <w:spacing w:after="140"/>
        <w:ind/>
        <w:jc w:val="both"/>
        <w:rPr/>
      </w:pPr>
      <w:r>
        <w:t xml:space="preserve">(3) Pravo iz stavka 1. ovog članka ostvaruje se putem vaučera (Prilog 3) koji glasi na točno određeni broj sati, sukladno odabranoj kate</w:t>
      </w:r>
      <w:r>
        <w:t xml:space="preserve">goriji iz stavka 2. ovog članka, i koji korisnik može iskoristiti u više navrata (djelomično, po pojedinim terminima), sukladno raspoloživosti prostora.</w:t>
      </w:r>
      <w:r/>
    </w:p>
    <w:p>
      <w:pPr>
        <w:pBdr/>
        <w:spacing w:after="140"/>
        <w:ind/>
        <w:jc w:val="both"/>
        <w:rPr/>
      </w:pPr>
      <w:r>
        <w:t xml:space="preserve">(4) Razdoblje važenja vaučera iznosi 12 mjeseci od dana izdavanja, odnosno najkasnije do 31.12.2027, neo</w:t>
      </w:r>
      <w:r>
        <w:t xml:space="preserve">visno o odabranoj kategoriji vaučera. Sati koji ne budu iskorišteni do isteka razdoblja važenja vaučera prestaju vrijediti i ne prenose se u sljedeće razdoblje niti se isplaćuju u novcu; isto vrijedi i za uplaćeni polog iz članka 7. ovog Programa, koji se </w:t>
      </w:r>
      <w:r>
        <w:t xml:space="preserve">u tom slučaju ne vraća.</w:t>
      </w:r>
      <w:r/>
    </w:p>
    <w:p>
      <w:pPr>
        <w:pBdr/>
        <w:spacing w:after="140"/>
        <w:ind/>
        <w:jc w:val="both"/>
        <w:rPr/>
      </w:pPr>
      <w:r>
        <w:t xml:space="preserve">(5) Termini korištenja usklađuju se između korisnika i Davatelja unaprijed, prema dostupnosti prostora, sukladno članku 10. ovog Programa.</w:t>
      </w:r>
      <w:r/>
    </w:p>
    <w:p>
      <w:pPr>
        <w:pStyle w:val="899"/>
        <w:pBdr/>
        <w:spacing w:after="100" w:before="220"/>
        <w:ind/>
        <w:rPr/>
      </w:pPr>
      <w:r>
        <w:t xml:space="preserve">Članak 7. – Izračun vrijednosti potpore (bruto novčani ekvivalent)</w:t>
      </w:r>
      <w:r/>
    </w:p>
    <w:p>
      <w:pPr>
        <w:pBdr/>
        <w:spacing w:after="140"/>
        <w:ind/>
        <w:jc w:val="both"/>
        <w:rPr/>
      </w:pPr>
      <w:r>
        <w:t xml:space="preserve">(1) Tržišna c</w:t>
      </w:r>
      <w:r>
        <w:t xml:space="preserve">ijena korištenja prostora po satu utvrđuje se prema važećem cjeniku Davatelja za komercijalni najam istovjetnog ili usporedivog prostora, odnosno prema usporedivim tržišnim cijenama u Splitsko-Dalmatinskoj regiji, i na dan donošenja ovog Programa iznosi 35</w:t>
      </w:r>
      <w:r>
        <w:t xml:space="preserve">,00 EUR/h (bez PDV-a), jednako za sve kategorije vaučera iz članka 6. ovog Programa.</w:t>
      </w:r>
      <w:r/>
    </w:p>
    <w:p>
      <w:pPr>
        <w:pBdr/>
        <w:spacing w:after="140"/>
        <w:ind/>
        <w:rPr/>
      </w:pPr>
      <w:r>
        <w:t xml:space="preserve">(2) Od cijene iz stavka 1. ovog članka korisnik plaća polog (vlastito novčano sudjelovanje) u visini 20% tržišne cijene, odnosno 7,00 EUR po satu, dok preostalih 80% tržiš</w:t>
      </w:r>
      <w:r>
        <w:t xml:space="preserve">ne cijene, odnosno 28,00 EUR po satu, predstavlja vrijednost de-</w:t>
      </w:r>
      <w:r>
        <w:t xml:space="preserve">minimis</w:t>
      </w:r>
      <w:r>
        <w:t xml:space="preserve"> potpore koju korisniku dodjeljuje Davatelj.</w:t>
      </w:r>
      <w:r/>
    </w:p>
    <w:p>
      <w:pPr>
        <w:pBdr/>
        <w:spacing w:after="200"/>
        <w:ind/>
        <w:rPr/>
      </w:pPr>
      <w:r>
        <w:t xml:space="preserve">(3) Ovisno o odabranoj kategoriji vaučera, ukupna tržišna vrijednost korištenja, iznos pologa koji korisnik plaća unaprijed te najviša moguć</w:t>
      </w:r>
      <w:r>
        <w:t xml:space="preserve">a vrijednost de </w:t>
      </w:r>
      <w:r>
        <w:t xml:space="preserve">minimis</w:t>
      </w:r>
      <w:r>
        <w:t xml:space="preserve"> potpore iznose:</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0"/>
        <w:gridCol w:w="2200"/>
        <w:gridCol w:w="1800"/>
        <w:gridCol w:w="2626"/>
      </w:tblGrid>
      <w:tr>
        <w:trPr/>
        <w:tc>
          <w:tcPr>
            <w:shd w:val="clear" w:color="auto" w:fill="f2f2f2"/>
            <w:tcBorders/>
            <w:tcMar>
              <w:left w:w="100" w:type="dxa"/>
              <w:top w:w="60" w:type="dxa"/>
              <w:right w:w="100" w:type="dxa"/>
              <w:bottom w:w="60" w:type="dxa"/>
            </w:tcMar>
            <w:tcW w:w="2400" w:type="dxa"/>
            <w:vAlign w:val="center"/>
          </w:tcPr>
          <w:p>
            <w:pPr>
              <w:pBdr/>
              <w:spacing/>
              <w:ind/>
              <w:rPr/>
            </w:pPr>
            <w:r>
              <w:rPr>
                <w:b/>
                <w:bCs/>
              </w:rPr>
              <w:t xml:space="preserve">Kategorija vaučera</w:t>
            </w:r>
            <w:r/>
          </w:p>
        </w:tc>
        <w:tc>
          <w:tcPr>
            <w:shd w:val="clear" w:color="auto" w:fill="f2f2f2"/>
            <w:tcBorders/>
            <w:tcMar>
              <w:left w:w="100" w:type="dxa"/>
              <w:top w:w="60" w:type="dxa"/>
              <w:right w:w="100" w:type="dxa"/>
              <w:bottom w:w="60" w:type="dxa"/>
            </w:tcMar>
            <w:tcW w:w="2200" w:type="dxa"/>
            <w:vAlign w:val="center"/>
          </w:tcPr>
          <w:p>
            <w:pPr>
              <w:pBdr/>
              <w:spacing/>
              <w:ind/>
              <w:rPr/>
            </w:pPr>
            <w:r>
              <w:rPr>
                <w:b/>
                <w:bCs/>
              </w:rPr>
              <w:t xml:space="preserve">Ukupna tržišna vrijednost (35 EUR/h)</w:t>
            </w:r>
            <w:r/>
          </w:p>
        </w:tc>
        <w:tc>
          <w:tcPr>
            <w:shd w:val="clear" w:color="auto" w:fill="f2f2f2"/>
            <w:tcBorders/>
            <w:tcMar>
              <w:left w:w="100" w:type="dxa"/>
              <w:top w:w="60" w:type="dxa"/>
              <w:right w:w="100" w:type="dxa"/>
              <w:bottom w:w="60" w:type="dxa"/>
            </w:tcMar>
            <w:tcW w:w="1800" w:type="dxa"/>
            <w:vAlign w:val="center"/>
          </w:tcPr>
          <w:p>
            <w:pPr>
              <w:pBdr/>
              <w:spacing/>
              <w:ind/>
              <w:rPr/>
            </w:pPr>
            <w:r>
              <w:rPr>
                <w:b/>
                <w:bCs/>
              </w:rPr>
              <w:t xml:space="preserve">Polog korisnika (20%, 7 EUR/h)</w:t>
            </w:r>
            <w:r/>
          </w:p>
        </w:tc>
        <w:tc>
          <w:tcPr>
            <w:shd w:val="clear" w:color="auto" w:fill="f2f2f2"/>
            <w:tcBorders/>
            <w:tcMar>
              <w:left w:w="100" w:type="dxa"/>
              <w:top w:w="60" w:type="dxa"/>
              <w:right w:w="100" w:type="dxa"/>
              <w:bottom w:w="60" w:type="dxa"/>
            </w:tcMar>
            <w:tcW w:w="2626" w:type="dxa"/>
            <w:vAlign w:val="center"/>
          </w:tcPr>
          <w:p>
            <w:pPr>
              <w:pBdr/>
              <w:spacing/>
              <w:ind/>
              <w:rPr/>
            </w:pPr>
            <w:r>
              <w:rPr>
                <w:b/>
                <w:bCs/>
              </w:rPr>
              <w:t xml:space="preserve">Najviša vrijednost de </w:t>
            </w:r>
            <w:r>
              <w:rPr>
                <w:b/>
                <w:bCs/>
              </w:rPr>
              <w:t xml:space="preserve">minimis</w:t>
            </w:r>
            <w:r>
              <w:rPr>
                <w:b/>
                <w:bCs/>
              </w:rPr>
              <w:t xml:space="preserve"> potpore (80%, 28 EUR/h)</w:t>
            </w:r>
            <w:r/>
          </w:p>
        </w:tc>
      </w:tr>
      <w:tr>
        <w:trPr/>
        <w:tc>
          <w:tcPr>
            <w:tcBorders/>
            <w:tcMar>
              <w:left w:w="100" w:type="dxa"/>
              <w:top w:w="60" w:type="dxa"/>
              <w:right w:w="100" w:type="dxa"/>
              <w:bottom w:w="60" w:type="dxa"/>
            </w:tcMar>
            <w:tcW w:w="2400" w:type="dxa"/>
            <w:vAlign w:val="center"/>
          </w:tcPr>
          <w:p>
            <w:pPr>
              <w:pBdr/>
              <w:spacing/>
              <w:ind/>
              <w:rPr/>
            </w:pPr>
            <w:r>
              <w:t xml:space="preserve">Mali vaučer – 40 sati</w:t>
            </w:r>
            <w:r/>
          </w:p>
        </w:tc>
        <w:tc>
          <w:tcPr>
            <w:tcBorders/>
            <w:tcMar>
              <w:left w:w="100" w:type="dxa"/>
              <w:top w:w="60" w:type="dxa"/>
              <w:right w:w="100" w:type="dxa"/>
              <w:bottom w:w="60" w:type="dxa"/>
            </w:tcMar>
            <w:tcW w:w="2200" w:type="dxa"/>
            <w:vAlign w:val="center"/>
          </w:tcPr>
          <w:p>
            <w:pPr>
              <w:pBdr/>
              <w:spacing/>
              <w:ind/>
              <w:rPr/>
            </w:pPr>
            <w:r>
              <w:t xml:space="preserve">1.400,00 EUR</w:t>
            </w:r>
            <w:r/>
          </w:p>
        </w:tc>
        <w:tc>
          <w:tcPr>
            <w:tcBorders/>
            <w:tcMar>
              <w:left w:w="100" w:type="dxa"/>
              <w:top w:w="60" w:type="dxa"/>
              <w:right w:w="100" w:type="dxa"/>
              <w:bottom w:w="60" w:type="dxa"/>
            </w:tcMar>
            <w:tcW w:w="1800" w:type="dxa"/>
            <w:vAlign w:val="center"/>
          </w:tcPr>
          <w:p>
            <w:pPr>
              <w:pBdr/>
              <w:spacing/>
              <w:ind/>
              <w:rPr/>
            </w:pPr>
            <w:r>
              <w:t xml:space="preserve">280,00 EUR</w:t>
            </w:r>
            <w:r/>
          </w:p>
        </w:tc>
        <w:tc>
          <w:tcPr>
            <w:tcBorders/>
            <w:tcMar>
              <w:left w:w="100" w:type="dxa"/>
              <w:top w:w="60" w:type="dxa"/>
              <w:right w:w="100" w:type="dxa"/>
              <w:bottom w:w="60" w:type="dxa"/>
            </w:tcMar>
            <w:tcW w:w="2626" w:type="dxa"/>
            <w:vAlign w:val="center"/>
          </w:tcPr>
          <w:p>
            <w:pPr>
              <w:pBdr/>
              <w:spacing/>
              <w:ind/>
              <w:rPr/>
            </w:pPr>
            <w:r>
              <w:t xml:space="preserve">1.120,00 EUR</w:t>
            </w:r>
            <w:r/>
          </w:p>
        </w:tc>
      </w:tr>
      <w:tr>
        <w:trPr/>
        <w:tc>
          <w:tcPr>
            <w:tcBorders/>
            <w:tcMar>
              <w:left w:w="100" w:type="dxa"/>
              <w:top w:w="60" w:type="dxa"/>
              <w:right w:w="100" w:type="dxa"/>
              <w:bottom w:w="60" w:type="dxa"/>
            </w:tcMar>
            <w:tcW w:w="2400" w:type="dxa"/>
            <w:vAlign w:val="center"/>
          </w:tcPr>
          <w:p>
            <w:pPr>
              <w:pBdr/>
              <w:spacing/>
              <w:ind/>
              <w:rPr/>
            </w:pPr>
            <w:r>
              <w:t xml:space="preserve">Srednji vaučer – 80 sati</w:t>
            </w:r>
            <w:r/>
          </w:p>
        </w:tc>
        <w:tc>
          <w:tcPr>
            <w:tcBorders/>
            <w:tcMar>
              <w:left w:w="100" w:type="dxa"/>
              <w:top w:w="60" w:type="dxa"/>
              <w:right w:w="100" w:type="dxa"/>
              <w:bottom w:w="60" w:type="dxa"/>
            </w:tcMar>
            <w:tcW w:w="2200" w:type="dxa"/>
            <w:vAlign w:val="center"/>
          </w:tcPr>
          <w:p>
            <w:pPr>
              <w:pBdr/>
              <w:spacing/>
              <w:ind/>
              <w:rPr/>
            </w:pPr>
            <w:r>
              <w:t xml:space="preserve">2.800,00 EUR</w:t>
            </w:r>
            <w:r/>
          </w:p>
        </w:tc>
        <w:tc>
          <w:tcPr>
            <w:tcBorders/>
            <w:tcMar>
              <w:left w:w="100" w:type="dxa"/>
              <w:top w:w="60" w:type="dxa"/>
              <w:right w:w="100" w:type="dxa"/>
              <w:bottom w:w="60" w:type="dxa"/>
            </w:tcMar>
            <w:tcW w:w="1800" w:type="dxa"/>
            <w:vAlign w:val="center"/>
          </w:tcPr>
          <w:p>
            <w:pPr>
              <w:pBdr/>
              <w:spacing/>
              <w:ind/>
              <w:rPr/>
            </w:pPr>
            <w:r>
              <w:t xml:space="preserve">560,00 EUR</w:t>
            </w:r>
            <w:r/>
          </w:p>
        </w:tc>
        <w:tc>
          <w:tcPr>
            <w:tcBorders/>
            <w:tcMar>
              <w:left w:w="100" w:type="dxa"/>
              <w:top w:w="60" w:type="dxa"/>
              <w:right w:w="100" w:type="dxa"/>
              <w:bottom w:w="60" w:type="dxa"/>
            </w:tcMar>
            <w:tcW w:w="2626" w:type="dxa"/>
            <w:vAlign w:val="center"/>
          </w:tcPr>
          <w:p>
            <w:pPr>
              <w:pBdr/>
              <w:spacing/>
              <w:ind/>
              <w:rPr/>
            </w:pPr>
            <w:r>
              <w:t xml:space="preserve">2.240,00 EUR</w:t>
            </w:r>
            <w:r/>
          </w:p>
        </w:tc>
      </w:tr>
      <w:tr>
        <w:trPr/>
        <w:tc>
          <w:tcPr>
            <w:tcBorders/>
            <w:tcMar>
              <w:left w:w="100" w:type="dxa"/>
              <w:top w:w="60" w:type="dxa"/>
              <w:right w:w="100" w:type="dxa"/>
              <w:bottom w:w="60" w:type="dxa"/>
            </w:tcMar>
            <w:tcW w:w="2400" w:type="dxa"/>
            <w:vAlign w:val="center"/>
          </w:tcPr>
          <w:p>
            <w:pPr>
              <w:pBdr/>
              <w:spacing/>
              <w:ind/>
              <w:rPr/>
            </w:pPr>
            <w:r>
              <w:t xml:space="preserve">Veliki vaučer – 160 sati</w:t>
            </w:r>
            <w:r/>
          </w:p>
        </w:tc>
        <w:tc>
          <w:tcPr>
            <w:tcBorders/>
            <w:tcMar>
              <w:left w:w="100" w:type="dxa"/>
              <w:top w:w="60" w:type="dxa"/>
              <w:right w:w="100" w:type="dxa"/>
              <w:bottom w:w="60" w:type="dxa"/>
            </w:tcMar>
            <w:tcW w:w="2200" w:type="dxa"/>
            <w:vAlign w:val="center"/>
          </w:tcPr>
          <w:p>
            <w:pPr>
              <w:pBdr/>
              <w:spacing/>
              <w:ind/>
              <w:rPr/>
            </w:pPr>
            <w:r>
              <w:t xml:space="preserve">5.600,00 EUR</w:t>
            </w:r>
            <w:r/>
          </w:p>
        </w:tc>
        <w:tc>
          <w:tcPr>
            <w:tcBorders/>
            <w:tcMar>
              <w:left w:w="100" w:type="dxa"/>
              <w:top w:w="60" w:type="dxa"/>
              <w:right w:w="100" w:type="dxa"/>
              <w:bottom w:w="60" w:type="dxa"/>
            </w:tcMar>
            <w:tcW w:w="1800" w:type="dxa"/>
            <w:vAlign w:val="center"/>
          </w:tcPr>
          <w:p>
            <w:pPr>
              <w:pBdr/>
              <w:spacing/>
              <w:ind/>
              <w:rPr/>
            </w:pPr>
            <w:r>
              <w:t xml:space="preserve">1.120,00 EUR</w:t>
            </w:r>
            <w:r/>
          </w:p>
        </w:tc>
        <w:tc>
          <w:tcPr>
            <w:tcBorders/>
            <w:tcMar>
              <w:left w:w="100" w:type="dxa"/>
              <w:top w:w="60" w:type="dxa"/>
              <w:right w:w="100" w:type="dxa"/>
              <w:bottom w:w="60" w:type="dxa"/>
            </w:tcMar>
            <w:tcW w:w="2626" w:type="dxa"/>
            <w:vAlign w:val="center"/>
          </w:tcPr>
          <w:p>
            <w:pPr>
              <w:pBdr/>
              <w:spacing/>
              <w:ind/>
              <w:rPr/>
            </w:pPr>
            <w:r>
              <w:t xml:space="preserve">4.480,00 EUR</w:t>
            </w:r>
            <w:r/>
          </w:p>
        </w:tc>
      </w:tr>
    </w:tbl>
    <w:p>
      <w:pPr>
        <w:pBdr/>
        <w:spacing w:after="140"/>
        <w:ind/>
        <w:rPr/>
      </w:pPr>
      <w:r>
        <w:br/>
        <w:t xml:space="preserve">(4) Stvarna vrijednost dodijeljene potpore obračunava se prema broju sati koje je korisnik stvarno iskoristio prema Evidencijsk</w:t>
      </w:r>
      <w:r>
        <w:t xml:space="preserve">om listu iz članka 10. ovog Programa (28,00 EUR vrijednosti de </w:t>
      </w:r>
      <w:r>
        <w:t xml:space="preserve">minimis</w:t>
      </w:r>
      <w:r>
        <w:t xml:space="preserve"> potpore po svakom iskorištenom satu), a ne prema najvišoj mogućoj vrijednosti iz stavka 3. ovog članka.</w:t>
      </w:r>
      <w:r/>
    </w:p>
    <w:p>
      <w:pPr>
        <w:pBdr/>
        <w:spacing w:after="140"/>
        <w:ind/>
        <w:rPr/>
      </w:pPr>
      <w:r>
        <w:t xml:space="preserve">(5) Iznos pologa iz stavka 2. ovog članka u cijelosti snosi korisnik, ne smatra s</w:t>
      </w:r>
      <w:r>
        <w:t xml:space="preserve">e državnom potporom niti potporom male vrijednosti te se ne uračunava u vrijednost dodijeljene de </w:t>
      </w:r>
      <w:r>
        <w:t xml:space="preserve">minimis</w:t>
      </w:r>
      <w:r>
        <w:t xml:space="preserve"> potpore niti u gornju granicu iz članka 8. ovog Programa.</w:t>
      </w:r>
      <w:r/>
    </w:p>
    <w:p>
      <w:pPr>
        <w:pBdr/>
        <w:spacing w:after="140"/>
        <w:ind/>
        <w:jc w:val="both"/>
        <w:rPr/>
      </w:pPr>
      <w:r>
        <w:t xml:space="preserve">(6) Vrijednost potpore transparentna je i unaprijed </w:t>
      </w:r>
      <w:r>
        <w:t xml:space="preserve">izračunljiva</w:t>
      </w:r>
      <w:r>
        <w:t xml:space="preserve"> u skladu s člankom 4. Uredbe, budući da se temelji na unaprijed poznatoj i objavljenoj satnici te unaprijed određenom najvišem broju sati po pojedinoj kategoriji vaučera, bez potrebe za procj</w:t>
      </w:r>
      <w:r>
        <w:t xml:space="preserve">enom rizika.</w:t>
      </w:r>
      <w:r/>
    </w:p>
    <w:p>
      <w:pPr>
        <w:pBdr/>
        <w:spacing w:after="140"/>
        <w:ind/>
        <w:jc w:val="both"/>
        <w:rPr/>
      </w:pPr>
      <w:r>
        <w:t xml:space="preserve">(7) Datumom dodjele potpore smatra se datum izdavanja vaučera, odnosno datum na koji korisnik stječe pravno pravo na korištenje prostora, neovisno o tome je li i kada to pravo stvarno iskoristio (članak 3. stavak 3. Uredbe).</w:t>
      </w:r>
      <w:r/>
    </w:p>
    <w:p>
      <w:pPr>
        <w:pStyle w:val="899"/>
        <w:pBdr/>
        <w:spacing w:after="100" w:before="220"/>
        <w:ind/>
        <w:rPr/>
      </w:pPr>
      <w:r>
        <w:t xml:space="preserve">Članak 8. – Gornja</w:t>
      </w:r>
      <w:r>
        <w:t xml:space="preserve"> granica potpore i kumulacija</w:t>
      </w:r>
      <w:r/>
    </w:p>
    <w:p>
      <w:pPr>
        <w:pBdr/>
        <w:spacing w:after="140"/>
        <w:ind/>
        <w:rPr/>
      </w:pPr>
      <w:r>
        <w:t xml:space="preserve">(1) Ukupan iznos de </w:t>
      </w:r>
      <w:r>
        <w:t xml:space="preserve">minimis</w:t>
      </w:r>
      <w:r>
        <w:t xml:space="preserve"> potpora koje jedan poduzetnik može primiti od bilo kojeg davatelja u Republici Hrvatskoj ne smije prijeći 300.000 EUR tijekom tekuće i prethodne dvije fiskalne godine, uzimajući u obzir i posebne, n</w:t>
      </w:r>
      <w:r>
        <w:t xml:space="preserve">iže pragove koji vrijede za pojedine djelatnosti sukladno Uredbi.</w:t>
      </w:r>
      <w:r/>
    </w:p>
    <w:p>
      <w:pPr>
        <w:pBdr/>
        <w:spacing w:after="140"/>
        <w:ind/>
        <w:rPr/>
      </w:pPr>
      <w:r>
        <w:t xml:space="preserve">(2) Prije donošenja odluke o dodjeli potpore Davatelj je dužan:</w:t>
      </w:r>
      <w:r/>
    </w:p>
    <w:p>
      <w:pPr>
        <w:pStyle w:val="909"/>
        <w:numPr>
          <w:ilvl w:val="0"/>
          <w:numId w:val="1"/>
        </w:numPr>
        <w:pBdr/>
        <w:spacing w:after="60"/>
        <w:ind/>
        <w:rPr/>
      </w:pPr>
      <w:r>
        <w:t xml:space="preserve">pribaviti od prijavitelja popunjenu i potpisanu Izjavu o primljenim de </w:t>
      </w:r>
      <w:r>
        <w:t xml:space="preserve">minimis</w:t>
      </w:r>
      <w:r>
        <w:t xml:space="preserve"> potporama (Prilog 2),</w:t>
      </w:r>
      <w:r/>
    </w:p>
    <w:p>
      <w:pPr>
        <w:pStyle w:val="909"/>
        <w:numPr>
          <w:ilvl w:val="0"/>
          <w:numId w:val="1"/>
        </w:numPr>
        <w:pBdr/>
        <w:spacing w:after="60"/>
        <w:ind/>
        <w:rPr/>
      </w:pPr>
      <w:r>
        <w:t xml:space="preserve">provjeriti navedene podat</w:t>
      </w:r>
      <w:r>
        <w:t xml:space="preserve">ke u Registru državnih potpora i potpora male vrijednosti pri Ministarstvu financija.</w:t>
      </w:r>
      <w:r/>
    </w:p>
    <w:p>
      <w:pPr>
        <w:pBdr/>
        <w:spacing w:after="140"/>
        <w:ind/>
        <w:rPr/>
      </w:pPr>
      <w:r>
        <w:t xml:space="preserve">(3) Ako bi dodjela pune vrijednosti potpore za odabranu kategoriju vaučera dovela do prekoračenja gornje granice iz stavka 1. ovog članka, Davatelj korisniku nudi nižu ka</w:t>
      </w:r>
      <w:r>
        <w:t xml:space="preserve">tegoriju vaučera (srednji ili mali) čija vrijednost de </w:t>
      </w:r>
      <w:r>
        <w:t xml:space="preserve">minimis</w:t>
      </w:r>
      <w:r>
        <w:t xml:space="preserve"> potpore ne prelazi dopušteni prag, odnosno odbija prijavu ako ni dodjela malog vaučera nije moguća.</w:t>
      </w:r>
      <w:r/>
    </w:p>
    <w:p>
      <w:pPr>
        <w:pBdr/>
        <w:spacing w:after="140"/>
        <w:ind/>
        <w:rPr/>
      </w:pPr>
      <w:r>
        <w:t xml:space="preserve">(4) Pri izračunu iznosa iz stavka 1. ovog članka u obzir se uzima isključivo vrijednost de </w:t>
      </w:r>
      <w:r>
        <w:t xml:space="preserve">mi</w:t>
      </w:r>
      <w:r>
        <w:t xml:space="preserve">nimis</w:t>
      </w:r>
      <w:r>
        <w:t xml:space="preserve"> potpore utvrđena sukladno članku 7. ovog Programa (80% tržišne cijene), dok se iznos pologa koji plaća korisnik ne uračunava, sukladno članku 7. stavku 5. ovog Programa.</w:t>
      </w:r>
      <w:r/>
    </w:p>
    <w:p>
      <w:pPr>
        <w:pStyle w:val="899"/>
        <w:pBdr/>
        <w:spacing w:after="100" w:before="220"/>
        <w:ind/>
        <w:rPr/>
      </w:pPr>
      <w:r>
        <w:t xml:space="preserve">Članak 9. – Postupak prijave i dodjele</w:t>
      </w:r>
      <w:r/>
    </w:p>
    <w:p>
      <w:pPr>
        <w:pBdr/>
        <w:spacing w:after="140"/>
        <w:ind/>
        <w:rPr/>
      </w:pPr>
      <w:r>
        <w:t xml:space="preserve">(1) Davatelj objavljuje obavijest o moguć</w:t>
      </w:r>
      <w:r>
        <w:t xml:space="preserve">nosti prijave za korištenje prostora na svojim mrežnim stranicama, zajedno s ovim Programom te Prijavnim obrascem (Prilog 1) i Izjavom prijavitelja (Prilog 2).</w:t>
      </w:r>
      <w:r/>
    </w:p>
    <w:p>
      <w:pPr>
        <w:pBdr/>
        <w:spacing w:after="140"/>
        <w:ind/>
        <w:rPr/>
      </w:pPr>
      <w:r>
        <w:t xml:space="preserve">(2) Zainteresirani poduzetnik Davatelju dostavlja, u pisanom ili elektroničkom obliku:</w:t>
      </w:r>
      <w:r/>
    </w:p>
    <w:p>
      <w:pPr>
        <w:pStyle w:val="909"/>
        <w:numPr>
          <w:ilvl w:val="0"/>
          <w:numId w:val="1"/>
        </w:numPr>
        <w:pBdr/>
        <w:spacing w:after="60"/>
        <w:ind/>
        <w:rPr/>
      </w:pPr>
      <w:r>
        <w:t xml:space="preserve">popunjen </w:t>
      </w:r>
      <w:r>
        <w:t xml:space="preserve">i potpisan Prijavni obrazac (Prilog 1), s naznakom odabrane kategorije vaučera (mali, srednji ili veliki),</w:t>
      </w:r>
      <w:r/>
    </w:p>
    <w:p>
      <w:pPr>
        <w:pStyle w:val="909"/>
        <w:numPr>
          <w:ilvl w:val="0"/>
          <w:numId w:val="1"/>
        </w:numPr>
        <w:pBdr/>
        <w:spacing w:after="60"/>
        <w:ind/>
        <w:rPr/>
      </w:pPr>
      <w:r>
        <w:t xml:space="preserve">popunjenu i potpisanu Izjavu prijavitelja (Prilog 2),</w:t>
      </w:r>
      <w:r/>
    </w:p>
    <w:p w14:paraId="7A113C83">
      <w:pPr>
        <w:pBdr/>
        <w:spacing w:after="140"/>
        <w:ind/>
        <w:rPr/>
      </w:pPr>
      <w:r>
        <w:rPr>
          <w:highlight w:val="none"/>
        </w:rPr>
      </w:r>
      <w:r>
        <w:rPr>
          <w:highlight w:val="none"/>
        </w:rPr>
      </w:r>
      <w:r/>
    </w:p>
    <w:p>
      <w:pPr>
        <w:pBdr/>
        <w:spacing w:after="140"/>
        <w:ind/>
        <w:rPr>
          <w:highlight w:val="none"/>
        </w:rPr>
      </w:pPr>
      <w:r>
        <w:t xml:space="preserve">(3) Davatelj u roku od 8 radnih dana od zaprimanja potpune prijave provjerava:</w:t>
      </w:r>
      <w:r>
        <w:rPr>
          <w:highlight w:val="none"/>
        </w:rPr>
      </w:r>
    </w:p>
    <w:p>
      <w:pPr>
        <w:pStyle w:val="909"/>
        <w:numPr>
          <w:ilvl w:val="0"/>
          <w:numId w:val="1"/>
        </w:numPr>
        <w:pBdr/>
        <w:spacing w:after="60"/>
        <w:ind/>
        <w:rPr/>
      </w:pPr>
      <w:r>
        <w:t xml:space="preserve">formalnu potpunost prijave,</w:t>
      </w:r>
      <w:r/>
    </w:p>
    <w:p>
      <w:pPr>
        <w:pStyle w:val="909"/>
        <w:numPr>
          <w:ilvl w:val="0"/>
          <w:numId w:val="1"/>
        </w:numPr>
        <w:pBdr/>
        <w:spacing w:after="60"/>
        <w:ind/>
        <w:rPr/>
      </w:pPr>
      <w:r>
        <w:t xml:space="preserve">ispunjava li prijavitelj uvjete prihvatljiv</w:t>
      </w:r>
      <w:r>
        <w:t xml:space="preserve">osti iz članka 5. ovog Programa, uključujući registraciju i djelovanje na području Grada Kaštela u trajanju od najmanje 12 mjeseci,</w:t>
      </w:r>
      <w:r/>
    </w:p>
    <w:p>
      <w:pPr>
        <w:pStyle w:val="909"/>
        <w:numPr>
          <w:ilvl w:val="0"/>
          <w:numId w:val="1"/>
        </w:numPr>
        <w:pBdr/>
        <w:spacing w:after="60"/>
        <w:ind/>
        <w:rPr/>
      </w:pPr>
      <w:r>
        <w:t xml:space="preserve">uvjete kumulacije iz članka 8. ovog Programa.</w:t>
        <w:br/>
      </w:r>
      <w:r/>
    </w:p>
    <w:p>
      <w:pPr>
        <w:pBdr/>
        <w:spacing w:after="140"/>
        <w:ind/>
        <w:rPr/>
      </w:pPr>
      <w:r>
        <w:t xml:space="preserve">(4) Ako je prijava nepotpuna (uključujući nedostatak izvatka iz registra), Dav</w:t>
      </w:r>
      <w:r>
        <w:t xml:space="preserve">atelj poziva prijavitelja na dopunu u roku od 5 dana od zaprimanja poziva. Ako prijavitelj u tom roku ne dopuni prijavu, prijava se odbacuje.</w:t>
      </w:r>
      <w:r/>
    </w:p>
    <w:p>
      <w:pPr>
        <w:pBdr/>
        <w:spacing w:after="140"/>
        <w:ind/>
        <w:rPr/>
      </w:pPr>
      <w:r>
        <w:t xml:space="preserve">(5) Ako je prijava potpuna i prijavitelj ispunjava sve uvjete, Davatelj o tome pisano obavještava prijavitelja i p</w:t>
      </w:r>
      <w:r>
        <w:t xml:space="preserve">oziva ga na uplatu pologa iz članka 7. ovog Programa, u iznosu koji odgovara odabranoj kategoriji vaučera (280,00 EUR za mali, 560,00 EUR za srednji, odnosno 1.120,00 EUR za veliki vaučer).</w:t>
      </w:r>
      <w:r/>
    </w:p>
    <w:p>
      <w:pPr>
        <w:pBdr/>
        <w:spacing w:after="140"/>
        <w:ind/>
        <w:rPr/>
      </w:pPr>
      <w:r>
        <w:t xml:space="preserve">(6) Polog se plaća unaprijed, u punom iznosu za odabranu kategorij</w:t>
      </w:r>
      <w:r>
        <w:t xml:space="preserve">u vaučera, prije izdavanja Vaučera. Davatelj izdaje Vaučer (Prilog 3) u roku od 3 radna dana od dana primitka dokaza o uplati pologa (izvod/potvrda o plaćanju).</w:t>
      </w:r>
      <w:r/>
    </w:p>
    <w:p>
      <w:pPr>
        <w:pBdr/>
        <w:spacing w:after="140"/>
        <w:ind/>
        <w:rPr/>
      </w:pPr>
      <w:r>
        <w:t xml:space="preserve">(7) Ako prijavitelj ne izvrši uplatu pologa u roku od 15 dana od dana obavijesti iz stavka </w:t>
      </w:r>
      <w:r>
        <w:t xml:space="preserve">5. ovog članka, smatra se da je odustao od prijave, o čemu ga Davatelj obavještava.</w:t>
      </w:r>
      <w:r/>
    </w:p>
    <w:p>
      <w:pPr>
        <w:pBdr/>
        <w:spacing w:after="140"/>
        <w:ind/>
        <w:rPr/>
      </w:pPr>
      <w:r>
        <w:t xml:space="preserve">(8) Ako prijavitelj ne ispunjava uvjete, ili bi dodjela pune vrijednosti odabrane kategorije vaučera dovela do prekoračenja gornje granice bez mogućnosti dodjele niže kateg</w:t>
      </w:r>
      <w:r>
        <w:t xml:space="preserve">orije, Davatelj donosi odluku o odbijanju prijave, s obrazloženjem, koju dostavlja prijavitelju.</w:t>
      </w:r>
      <w:r/>
    </w:p>
    <w:p>
      <w:pPr>
        <w:pBdr/>
        <w:spacing w:after="140"/>
        <w:ind/>
        <w:rPr/>
      </w:pPr>
      <w:r>
        <w:t xml:space="preserve">(9) Izdavanjem Vaučera Davatelj korisnika pisano obavještava o iznosu dodijeljene de </w:t>
      </w:r>
      <w:r>
        <w:t xml:space="preserve">minimis</w:t>
      </w:r>
      <w:r>
        <w:t xml:space="preserve"> potpore i izričito navodi da se radi o potpori male vrijednosti do</w:t>
      </w:r>
      <w:r>
        <w:t xml:space="preserve">dijeljenoj sukladno Uredbi Komisije (EU) 2023/2831, sukladno članku 6. Uredbe.</w:t>
      </w:r>
      <w:r/>
    </w:p>
    <w:p>
      <w:pPr>
        <w:pStyle w:val="899"/>
        <w:pBdr/>
        <w:spacing w:after="100" w:before="220"/>
        <w:ind/>
        <w:rPr/>
      </w:pPr>
      <w:r>
        <w:t xml:space="preserve">Članak 10. – Korištenje vaučera i evidencija iskorištenih sati</w:t>
      </w:r>
      <w:r/>
    </w:p>
    <w:p>
      <w:pPr>
        <w:pBdr/>
        <w:spacing w:after="140"/>
        <w:ind/>
        <w:rPr/>
      </w:pPr>
      <w:r>
        <w:t xml:space="preserve">(1) Korisnik najavljuje termin korištenja prostora Davatelju najkasnije 3 radna dana unaprijed, uz naznaku datuma,</w:t>
      </w:r>
      <w:r>
        <w:t xml:space="preserve"> vremena i planiranog broja sati pojedinog korištenja.</w:t>
      </w:r>
      <w:r/>
    </w:p>
    <w:p>
      <w:pPr>
        <w:pBdr/>
        <w:spacing w:after="140"/>
        <w:ind/>
        <w:rPr/>
      </w:pPr>
      <w:r>
        <w:t xml:space="preserve">(2) Davatelj za svakog korisnika vodi Evidencijski list korištenja vaučera (Prilog 4), u koji se nakon svakog pojedinog korištenja upisuju: datum, vrijeme korištenja (od–do), broj iskorištenih sati, preostali broj raspoloživih sati na vaučeru te potpisi ov</w:t>
      </w:r>
      <w:r>
        <w:t xml:space="preserve">laštene osobe Davatelja i korisnika.</w:t>
      </w:r>
      <w:r/>
    </w:p>
    <w:p>
      <w:pPr>
        <w:pBdr/>
        <w:spacing w:after="140"/>
        <w:ind/>
        <w:rPr/>
      </w:pPr>
      <w:r>
        <w:t xml:space="preserve">(3) Zbroj iskorištenih sati pri pojedinom korištenju ne smije prijeći broj sati koji je u tom trenutku raspoloživ na vaučeru korisnika.</w:t>
      </w:r>
      <w:r/>
    </w:p>
    <w:p>
      <w:pPr>
        <w:pBdr/>
        <w:spacing w:after="140"/>
        <w:ind/>
        <w:rPr/>
      </w:pPr>
      <w:r>
        <w:t xml:space="preserve">(4) Vaučer prestaje vrijediti kada korisnik iskoristi svih 40 sati ili istekom razd</w:t>
      </w:r>
      <w:r>
        <w:t xml:space="preserve">oblja važenja iz članka 6. stavka 3. ovog Programa, ovisno o tome što nastupi ranije.</w:t>
      </w:r>
      <w:r/>
    </w:p>
    <w:p>
      <w:pPr>
        <w:pBdr/>
        <w:spacing w:after="140"/>
        <w:ind/>
        <w:rPr/>
      </w:pPr>
      <w:r>
        <w:t xml:space="preserve">(5) Evidencijski list korištenja vaučera sastavni je dio dokumentacije o dodijeljenoj potpori i predstavlja temelj za utvrđivanje konačne, stvarno iskorištene vrijednosti</w:t>
      </w:r>
      <w:r>
        <w:t xml:space="preserve"> potpore iz članka 7. stavka 4. ovog Programa.</w:t>
      </w:r>
      <w:r/>
    </w:p>
    <w:p>
      <w:pPr>
        <w:pStyle w:val="899"/>
        <w:pBdr/>
        <w:spacing w:after="100" w:before="220"/>
        <w:ind/>
        <w:rPr/>
      </w:pPr>
      <w:r>
        <w:t xml:space="preserve">Članak 11. – Obveze Davatelja</w:t>
      </w:r>
      <w:r/>
    </w:p>
    <w:p>
      <w:pPr>
        <w:pStyle w:val="909"/>
        <w:numPr>
          <w:ilvl w:val="0"/>
          <w:numId w:val="1"/>
        </w:numPr>
        <w:pBdr/>
        <w:spacing w:after="60"/>
        <w:ind/>
        <w:rPr/>
      </w:pPr>
      <w:r>
        <w:t xml:space="preserve">voditi zasebnu evidenciju de </w:t>
      </w:r>
      <w:r>
        <w:t xml:space="preserve">minimis</w:t>
      </w:r>
      <w:r>
        <w:t xml:space="preserve"> potpora dodijeljenih prema ovom Programu, odvojeno od evidencije državnih potpora,</w:t>
      </w:r>
      <w:r/>
    </w:p>
    <w:p>
      <w:pPr>
        <w:pStyle w:val="909"/>
        <w:numPr>
          <w:ilvl w:val="0"/>
          <w:numId w:val="1"/>
        </w:numPr>
        <w:pBdr/>
        <w:spacing w:after="60"/>
        <w:ind/>
        <w:rPr/>
      </w:pPr>
      <w:r>
        <w:t xml:space="preserve">voditi evidenciju uplaćenih pologa korisnika, odvojeno od e</w:t>
      </w:r>
      <w:r>
        <w:t xml:space="preserve">videncije de </w:t>
      </w:r>
      <w:r>
        <w:t xml:space="preserve">minimis</w:t>
      </w:r>
      <w:r>
        <w:t xml:space="preserve"> potpora,</w:t>
      </w:r>
      <w:r/>
    </w:p>
    <w:p>
      <w:pPr>
        <w:pStyle w:val="909"/>
        <w:numPr>
          <w:ilvl w:val="0"/>
          <w:numId w:val="1"/>
        </w:numPr>
        <w:pBdr/>
        <w:spacing w:after="60"/>
        <w:ind/>
        <w:rPr/>
      </w:pPr>
      <w:r>
        <w:t xml:space="preserve">bez odgode, odmah po dodjeli, unijeti podatke o dodijeljenoj potpori u Registar državnih potpora i potpora male vrijednosti,</w:t>
      </w:r>
      <w:r/>
    </w:p>
    <w:p>
      <w:pPr>
        <w:pStyle w:val="909"/>
        <w:numPr>
          <w:ilvl w:val="0"/>
          <w:numId w:val="1"/>
        </w:numPr>
        <w:pBdr/>
        <w:spacing w:after="60"/>
        <w:ind/>
        <w:rPr/>
      </w:pPr>
      <w:r>
        <w:t xml:space="preserve">pisano obavijestiti korisnika o iznosu i pravnoj osnovi dodijeljene potpore,</w:t>
      </w:r>
      <w:r/>
    </w:p>
    <w:p>
      <w:pPr>
        <w:pStyle w:val="909"/>
        <w:numPr>
          <w:ilvl w:val="0"/>
          <w:numId w:val="1"/>
        </w:numPr>
        <w:pBdr/>
        <w:spacing w:after="60"/>
        <w:ind/>
        <w:rPr/>
      </w:pPr>
      <w:r>
        <w:t xml:space="preserve">čuvati cjelokupnu dokume</w:t>
      </w:r>
      <w:r>
        <w:t xml:space="preserve">ntaciju (Program, prijave, izjave, odluke, vaučere, evidencijske listove) najmanje 10 godina od dana dodjele posljednje pojedinačne potpore prema ovom Programu,</w:t>
      </w:r>
      <w:r/>
    </w:p>
    <w:p>
      <w:pPr>
        <w:pStyle w:val="909"/>
        <w:numPr>
          <w:ilvl w:val="0"/>
          <w:numId w:val="1"/>
        </w:numPr>
        <w:pBdr/>
        <w:spacing w:after="60"/>
        <w:ind/>
        <w:rPr/>
      </w:pPr>
      <w:r>
        <w:t xml:space="preserve">godišnje dostavljati Ministarstvu financija podatke o dodijeljenim potporama male vrijednosti s</w:t>
      </w:r>
      <w:r>
        <w:t xml:space="preserve">ukladno članku 14. Zakona o državnim potporama,</w:t>
      </w:r>
      <w:r/>
    </w:p>
    <w:p>
      <w:pPr>
        <w:pStyle w:val="909"/>
        <w:numPr>
          <w:ilvl w:val="0"/>
          <w:numId w:val="1"/>
        </w:numPr>
        <w:pBdr/>
        <w:spacing w:after="60"/>
        <w:ind/>
        <w:rPr/>
      </w:pPr>
      <w:r>
        <w:t xml:space="preserve">objaviti ovaj Program na svojim mrežnim stranicama prije početka dodjele potpora.</w:t>
      </w:r>
      <w:r/>
    </w:p>
    <w:p>
      <w:pPr>
        <w:pStyle w:val="899"/>
        <w:pBdr/>
        <w:spacing w:after="100" w:before="220"/>
        <w:ind/>
        <w:rPr/>
      </w:pPr>
      <w:r>
        <w:t xml:space="preserve">Članak 12. – Obveze korisnika</w:t>
      </w:r>
      <w:r/>
    </w:p>
    <w:p>
      <w:pPr>
        <w:pStyle w:val="909"/>
        <w:numPr>
          <w:ilvl w:val="0"/>
          <w:numId w:val="1"/>
        </w:numPr>
        <w:pBdr/>
        <w:spacing w:after="60"/>
        <w:ind/>
        <w:rPr/>
      </w:pPr>
      <w:r>
        <w:t xml:space="preserve">d</w:t>
      </w:r>
      <w:r>
        <w:t xml:space="preserve">ostaviti točne i istinite podatke u Prijavnom obrascu i Izjavi prijavitelja</w:t>
      </w:r>
      <w:r>
        <w:t xml:space="preserve">,</w:t>
      </w:r>
      <w:r/>
    </w:p>
    <w:p>
      <w:pPr>
        <w:pStyle w:val="909"/>
        <w:numPr>
          <w:ilvl w:val="0"/>
          <w:numId w:val="1"/>
        </w:numPr>
        <w:pBdr/>
        <w:spacing w:after="60"/>
        <w:ind/>
        <w:rPr/>
      </w:pPr>
      <w:r>
        <w:t xml:space="preserve">unaprijed platiti polog za odabranu kategoriju vaučera, u iznosu i roku određenim člankom 7. i 9. ovog Programa,</w:t>
      </w:r>
      <w:r/>
    </w:p>
    <w:p>
      <w:pPr>
        <w:pStyle w:val="909"/>
        <w:numPr>
          <w:ilvl w:val="0"/>
          <w:numId w:val="1"/>
        </w:numPr>
        <w:pBdr/>
        <w:spacing w:after="60"/>
        <w:ind/>
        <w:rPr/>
      </w:pPr>
      <w:r>
        <w:t xml:space="preserve">prostor koristiti isključivo u dogovorene svrhe i u dogovorenim terminima,</w:t>
      </w:r>
      <w:r/>
    </w:p>
    <w:p>
      <w:pPr>
        <w:pStyle w:val="909"/>
        <w:numPr>
          <w:ilvl w:val="0"/>
          <w:numId w:val="1"/>
        </w:numPr>
        <w:pBdr/>
        <w:spacing w:after="60"/>
        <w:ind/>
        <w:rPr/>
      </w:pPr>
      <w:r>
        <w:t xml:space="preserve">bez odgode obavijestiti Da</w:t>
      </w:r>
      <w:r>
        <w:t xml:space="preserve">vatelja o svakoj promjeni podataka relevantnih za primjenu pravila o de </w:t>
      </w:r>
      <w:r>
        <w:t xml:space="preserve">minimis</w:t>
      </w:r>
      <w:r>
        <w:t xml:space="preserve"> potporama (npr. status jednog poduzetnika, primitak drugih de </w:t>
      </w:r>
      <w:r>
        <w:t xml:space="preserve">minimis</w:t>
      </w:r>
      <w:r>
        <w:t xml:space="preserve"> potpora nakon podnošenja izjave),</w:t>
      </w:r>
      <w:r/>
    </w:p>
    <w:p>
      <w:pPr>
        <w:pStyle w:val="909"/>
        <w:numPr>
          <w:ilvl w:val="0"/>
          <w:numId w:val="1"/>
        </w:numPr>
        <w:pBdr/>
        <w:spacing w:after="60"/>
        <w:ind/>
        <w:rPr/>
      </w:pPr>
      <w:r>
        <w:t xml:space="preserve">omogućiti Davatelju i nadležnim nacionalnim tijelima uvid u dokumentacij</w:t>
      </w:r>
      <w:r>
        <w:t xml:space="preserve">u radi provjere ispunjenja uvjeta ovog Programa.</w:t>
      </w:r>
      <w:r/>
    </w:p>
    <w:p>
      <w:pPr>
        <w:pStyle w:val="899"/>
        <w:pBdr/>
        <w:spacing w:after="100" w:before="220"/>
        <w:ind/>
        <w:rPr/>
      </w:pPr>
      <w:r>
        <w:t xml:space="preserve">Članak 13. – Povrat potpore</w:t>
      </w:r>
      <w:r/>
    </w:p>
    <w:p>
      <w:pPr>
        <w:pBdr/>
        <w:spacing w:after="140"/>
        <w:ind/>
        <w:rPr/>
      </w:pPr>
      <w:r>
        <w:t xml:space="preserve">Ako se naknadno utvrdi da je potpora dodijeljena protivno uvjetima ovog Programa i/ili Uredbe (npr. prekoračenje gornje granice, netočni podaci u Izjavi prijavitelja ili u dokazu </w:t>
      </w:r>
      <w:r>
        <w:t xml:space="preserve">o registraciji, korištenje prostora u svrhe suprotne članku 3. ovog Programa), Davatelj će od korisnika zatražiti povrat vrijednosti </w:t>
      </w:r>
      <w:r>
        <w:t xml:space="preserve">neopravdano dodijeljene, odnosno iskorištene potpore, obračunate prema satnici iz članka 7. ovog Programa. Uplaćeni polog s</w:t>
      </w:r>
      <w:r>
        <w:t xml:space="preserve">e u tom slučaju ne vraća i ne uračunava se u iznos povrata potpore.</w:t>
      </w:r>
      <w:r/>
    </w:p>
    <w:p>
      <w:pPr>
        <w:pStyle w:val="899"/>
        <w:pBdr/>
        <w:spacing w:after="100" w:before="220"/>
        <w:ind/>
        <w:rPr/>
      </w:pPr>
      <w:r>
        <w:t xml:space="preserve">Članak 14. – Razdoblje primjene</w:t>
      </w:r>
      <w:r/>
    </w:p>
    <w:p>
      <w:pPr>
        <w:pBdr/>
        <w:spacing w:after="140"/>
        <w:ind/>
        <w:rPr/>
      </w:pPr>
      <w:r>
        <w:t xml:space="preserve">Ovaj Program primjenjuje se od dana objave na mrežnim stranicama Davatelja do 31. prosinca 2030., odnosno do isteka razdoblja primjene Uredbe Komisije (EU) </w:t>
      </w:r>
      <w:r>
        <w:t xml:space="preserve">2023/2831, ili do ranijeg stavljanja izvan snage, ovisno o tome što nastupi prije. Potpore dodijeljene prije prestanka primjene Programa ostaju na snazi do isteka roka važenja pojedinog vaučera.</w:t>
      </w:r>
      <w:r/>
    </w:p>
    <w:p>
      <w:pPr>
        <w:pStyle w:val="899"/>
        <w:pBdr/>
        <w:spacing w:after="100" w:before="220"/>
        <w:ind/>
        <w:rPr/>
      </w:pPr>
      <w:r>
        <w:t xml:space="preserve">Članak 15. – Stupanje na snagu</w:t>
      </w:r>
      <w:r/>
    </w:p>
    <w:p>
      <w:pPr>
        <w:pBdr/>
        <w:spacing w:after="140"/>
        <w:ind/>
        <w:rPr/>
      </w:pPr>
      <w:r>
        <w:t xml:space="preserve">Ovaj Program stupa na snagu da</w:t>
      </w:r>
      <w:r>
        <w:t xml:space="preserve">nom donošenja.</w:t>
      </w:r>
      <w:r/>
    </w:p>
    <w:p>
      <w:pPr>
        <w:pBdr/>
        <w:spacing w:after="60" w:before="400"/>
        <w:ind/>
        <w:rPr/>
      </w:pPr>
      <w:r>
        <w:t xml:space="preserve">Kaštel Gomilica, 31.7.2027</w:t>
      </w:r>
      <w:r/>
    </w:p>
    <w:p>
      <w:pPr>
        <w:pBdr/>
        <w:spacing w:before="200"/>
        <w:ind/>
        <w:jc w:val="right"/>
        <w:rPr/>
      </w:pPr>
      <w:r>
        <w:t xml:space="preserve">Goran Pavlov, direktor</w:t>
      </w:r>
      <w:r/>
    </w:p>
    <w:p>
      <w:pPr>
        <w:pBdr/>
        <w:spacing w:after="100"/>
        <w:ind/>
        <w:jc w:val="right"/>
        <w:rPr/>
      </w:pPr>
      <w:r>
        <w:t xml:space="preserve">IRI Centar d.o.o.</w:t>
      </w:r>
      <w:r/>
    </w:p>
    <w:p>
      <w:pPr>
        <w:pBdr/>
        <w:spacing w:after="100"/>
        <w:ind/>
        <w:jc w:val="right"/>
        <w:rPr/>
      </w:pPr>
      <w:r/>
      <w:bookmarkStart w:id="0" w:name="_GoBack"/>
      <w:r/>
      <w:bookmarkEnd w:id="0"/>
      <w:r/>
      <w:r/>
    </w:p>
    <w:p>
      <w:pPr>
        <w:pBdr/>
        <w:spacing/>
        <w:ind/>
        <w:jc w:val="right"/>
        <w:rPr/>
      </w:pPr>
      <w:r>
        <w:t xml:space="preserve">__________</w:t>
      </w:r>
      <w:r>
        <w:t xml:space="preserve">_____________ </w:t>
      </w:r>
      <w:r/>
    </w:p>
    <w:p>
      <w:pPr>
        <w:pBdr/>
        <w:spacing/>
        <w:ind/>
        <w:jc w:val="right"/>
        <w:rPr/>
      </w:pPr>
      <w:r>
        <w:t xml:space="preserve">(potpis / pečat)</w:t>
      </w:r>
      <w:r/>
    </w:p>
    <w:p>
      <w:pPr>
        <w:pBdr/>
        <w:spacing/>
        <w:ind/>
        <w:rPr/>
      </w:pPr>
      <w:r>
        <w:br w:type="page" w:clear="all"/>
      </w:r>
      <w:r/>
    </w:p>
    <w:p>
      <w:pPr>
        <w:pStyle w:val="898"/>
        <w:pBdr/>
        <w:spacing w:after="160" w:before="300"/>
        <w:ind/>
        <w:rPr/>
      </w:pPr>
      <w:r>
        <w:t xml:space="preserve">PRILOG 1 – PRIJAVNI OBRAZAC</w:t>
      </w:r>
      <w:r/>
    </w:p>
    <w:p>
      <w:pPr>
        <w:pBdr/>
        <w:spacing w:after="240"/>
        <w:ind/>
        <w:rPr/>
      </w:pPr>
      <w:r>
        <w:rPr>
          <w:i/>
          <w:iCs/>
        </w:rPr>
        <w:t xml:space="preserve">za dodjelu potpore male vrijednosti (de </w:t>
      </w:r>
      <w:r>
        <w:rPr>
          <w:i/>
          <w:iCs/>
        </w:rPr>
        <w:t xml:space="preserve">minimis</w:t>
      </w:r>
      <w:r>
        <w:rPr>
          <w:i/>
          <w:iCs/>
        </w:rPr>
        <w:t xml:space="preserve">) prema Programu "IRI HUB vaučer"</w:t>
      </w:r>
      <w:r/>
    </w:p>
    <w:p>
      <w:pPr>
        <w:pStyle w:val="899"/>
        <w:pBdr/>
        <w:spacing w:after="100" w:before="220"/>
        <w:ind/>
        <w:rPr/>
      </w:pPr>
      <w:r>
        <w:t xml:space="preserve">1. Podaci o Davatelju i programu</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Naziv Davatelja</w:t>
            </w:r>
            <w:r/>
          </w:p>
        </w:tc>
        <w:tc>
          <w:tcPr>
            <w:tcBorders/>
            <w:tcMar>
              <w:left w:w="100" w:type="dxa"/>
              <w:top w:w="60" w:type="dxa"/>
              <w:right w:w="100" w:type="dxa"/>
              <w:bottom w:w="60" w:type="dxa"/>
            </w:tcMar>
            <w:tcW w:w="5826" w:type="dxa"/>
            <w:vAlign w:val="center"/>
          </w:tcPr>
          <w:p>
            <w:pPr>
              <w:pBdr/>
              <w:spacing/>
              <w:ind/>
              <w:rPr/>
            </w:pPr>
            <w:r>
              <w:t xml:space="preserve">IRI CENTAR d.o.o.</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Program potpore</w:t>
            </w:r>
            <w:r/>
          </w:p>
        </w:tc>
        <w:tc>
          <w:tcPr>
            <w:tcBorders/>
            <w:tcMar>
              <w:left w:w="100" w:type="dxa"/>
              <w:top w:w="60" w:type="dxa"/>
              <w:right w:w="100" w:type="dxa"/>
              <w:bottom w:w="60" w:type="dxa"/>
            </w:tcMar>
            <w:tcW w:w="5826" w:type="dxa"/>
            <w:vAlign w:val="center"/>
          </w:tcPr>
          <w:p>
            <w:pPr>
              <w:pBdr/>
              <w:spacing/>
              <w:ind/>
              <w:rPr/>
            </w:pPr>
            <w:r>
              <w:t xml:space="preserve">Program dodjele potpora male vrijednosti (de </w:t>
            </w:r>
            <w:r>
              <w:t xml:space="preserve">minimis</w:t>
            </w:r>
            <w:r>
              <w:t xml:space="preserve">) "IRI HUB vaučer"</w:t>
            </w:r>
            <w:r/>
          </w:p>
        </w:tc>
      </w:tr>
    </w:tbl>
    <w:p>
      <w:pPr>
        <w:pStyle w:val="899"/>
        <w:pBdr/>
        <w:spacing w:after="100" w:before="220"/>
        <w:ind/>
        <w:rPr/>
      </w:pPr>
      <w:r>
        <w:t xml:space="preserve">2. Podaci o podnositelju prijave</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Naziv/tvrtka poduzetnika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OIB</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Sjedište / adresa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Pravni oblik (d.o.o., </w:t>
            </w:r>
            <w:r>
              <w:rPr>
                <w:b/>
                <w:bCs/>
              </w:rPr>
              <w:t xml:space="preserve">j.d.o.o</w:t>
            </w:r>
            <w:r>
              <w:rPr>
                <w:b/>
                <w:bCs/>
              </w:rPr>
              <w:t xml:space="preserve">., obrt, zadruga…)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Pretežita djelatnost (NKD oznaka i naziv)</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Ime i prezime odgovorne osobe</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Kontakt telefon</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E-mail</w:t>
            </w:r>
            <w:r/>
          </w:p>
        </w:tc>
        <w:tc>
          <w:tcPr>
            <w:tcBorders/>
            <w:tcMar>
              <w:left w:w="100" w:type="dxa"/>
              <w:top w:w="60" w:type="dxa"/>
              <w:right w:w="100" w:type="dxa"/>
              <w:bottom w:w="60" w:type="dxa"/>
            </w:tcMar>
            <w:tcW w:w="5826" w:type="dxa"/>
          </w:tcPr>
          <w:p>
            <w:pPr>
              <w:pBdr/>
              <w:spacing/>
              <w:ind/>
              <w:rPr/>
            </w:pPr>
            <w:r>
              <w:t xml:space="preserve"> </w:t>
            </w:r>
            <w:r/>
          </w:p>
        </w:tc>
      </w:tr>
    </w:tbl>
    <w:p>
      <w:pPr>
        <w:pStyle w:val="899"/>
        <w:pBdr/>
        <w:spacing w:after="100" w:before="220"/>
        <w:ind/>
        <w:rPr/>
      </w:pPr>
      <w:r>
        <w:t xml:space="preserve">3. Veličina poduzetnika (Program je namijenjen isključivo mikro i malim poduzetnicima)</w:t>
      </w:r>
      <w:r/>
    </w:p>
    <w:p>
      <w:pPr>
        <w:pBdr/>
        <w:spacing w:after="140"/>
        <w:ind/>
        <w:rPr/>
      </w:pPr>
      <w:r>
        <w:rPr>
          <w:i/>
          <w:iCs/>
        </w:rPr>
        <w:t xml:space="preserve">(označiti jednu kategoriju sukladno Prilogu I. Uredbe (EU) br. 651/2014; srednji poduzetnici nisu prihvatljivi)</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tcBorders/>
            <w:tcMar>
              <w:left w:w="100" w:type="dxa"/>
              <w:top w:w="60" w:type="dxa"/>
              <w:right w:w="100" w:type="dxa"/>
              <w:bottom w:w="60" w:type="dxa"/>
            </w:tcMar>
            <w:tcW w:w="3200" w:type="dxa"/>
            <w:vAlign w:val="center"/>
          </w:tcPr>
          <w:p>
            <w:pPr>
              <w:pBdr/>
              <w:spacing/>
              <w:ind/>
              <w:rPr/>
            </w:pPr>
            <w:r>
              <w:t xml:space="preserve">☐</w:t>
            </w:r>
            <w:r>
              <w:t xml:space="preserve">  Mikro poduzetnik</w:t>
            </w:r>
            <w:r/>
          </w:p>
        </w:tc>
        <w:tc>
          <w:tcPr>
            <w:tcBorders/>
            <w:tcMar>
              <w:left w:w="100" w:type="dxa"/>
              <w:top w:w="60" w:type="dxa"/>
              <w:right w:w="100" w:type="dxa"/>
              <w:bottom w:w="60" w:type="dxa"/>
            </w:tcMar>
            <w:tcW w:w="5826" w:type="dxa"/>
            <w:vAlign w:val="center"/>
          </w:tcPr>
          <w:p>
            <w:pPr>
              <w:pBdr/>
              <w:spacing/>
              <w:ind/>
              <w:rPr/>
            </w:pPr>
            <w:r>
              <w:t xml:space="preserve">&lt; 10 zaposlenih; promet i/ili bilanca ≤ 2 </w:t>
            </w:r>
            <w:r>
              <w:t xml:space="preserve">mil</w:t>
            </w:r>
            <w:r>
              <w:t xml:space="preserve">. EUR</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Prosječan broj zaposlenih</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Godišnji promet (EUR)</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Godišnja bilanca (EUR)</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Povezani/partnerski poduzetnici (naziv, OIB) ako postoje</w:t>
            </w:r>
            <w:r/>
          </w:p>
        </w:tc>
        <w:tc>
          <w:tcPr>
            <w:tcBorders/>
            <w:tcMar>
              <w:left w:w="100" w:type="dxa"/>
              <w:top w:w="60" w:type="dxa"/>
              <w:right w:w="100" w:type="dxa"/>
              <w:bottom w:w="60" w:type="dxa"/>
            </w:tcMar>
            <w:tcW w:w="5826" w:type="dxa"/>
          </w:tcPr>
          <w:p>
            <w:pPr>
              <w:pBdr/>
              <w:spacing/>
              <w:ind/>
              <w:rPr/>
            </w:pPr>
            <w:r>
              <w:t xml:space="preserve"> </w:t>
            </w:r>
            <w:r/>
          </w:p>
        </w:tc>
      </w:tr>
    </w:tbl>
    <w:p>
      <w:pPr>
        <w:pStyle w:val="899"/>
        <w:pBdr/>
        <w:spacing w:after="100" w:before="220"/>
        <w:ind/>
        <w:rPr/>
      </w:pPr>
      <w:r>
        <w:t xml:space="preserve">4. Dokaz registracije i djelovanja na području Grada Kaštela</w:t>
      </w:r>
      <w:r/>
    </w:p>
    <w:p>
      <w:pPr>
        <w:pBdr/>
        <w:spacing w:after="140"/>
        <w:ind/>
        <w:rPr/>
      </w:pPr>
      <w:r>
        <w:rPr>
          <w:i/>
          <w:iCs/>
        </w:rPr>
        <w:t xml:space="preserve">(uz obrazac obvezno priložiti izvadak iz nadležnog registra, ne stariji od 30 dana)</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Datum osnutka/upisa u registar</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Adresa sjedišta / poslovne jedinice na području Grada Kaštela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Naziv relevantnog registra (sudski, obrtni, drugi)</w:t>
            </w:r>
            <w:r/>
          </w:p>
        </w:tc>
        <w:tc>
          <w:tcPr>
            <w:tcBorders/>
            <w:tcMar>
              <w:left w:w="100" w:type="dxa"/>
              <w:top w:w="60" w:type="dxa"/>
              <w:right w:w="100" w:type="dxa"/>
              <w:bottom w:w="60" w:type="dxa"/>
            </w:tcMar>
            <w:tcW w:w="5826" w:type="dxa"/>
          </w:tcPr>
          <w:p>
            <w:pPr>
              <w:pBdr/>
              <w:spacing/>
              <w:ind/>
              <w:rPr/>
            </w:pPr>
            <w:r>
              <w:t xml:space="preserve"> </w:t>
            </w:r>
            <w:r/>
          </w:p>
        </w:tc>
      </w:tr>
    </w:tbl>
    <w:p w14:paraId="10E0B4E4">
      <w:pPr>
        <w:pStyle w:val="899"/>
        <w:pBdr/>
        <w:spacing w:after="100" w:before="220"/>
        <w:ind/>
        <w:rPr/>
      </w:pPr>
      <w:r>
        <w:rPr>
          <w:highlight w:val="none"/>
        </w:rPr>
      </w:r>
      <w:r>
        <w:rPr>
          <w:highlight w:val="none"/>
        </w:rPr>
      </w:r>
      <w:r>
        <w:rPr>
          <w:highlight w:val="none"/>
        </w:rPr>
      </w:r>
    </w:p>
    <w:p>
      <w:pPr>
        <w:pStyle w:val="899"/>
        <w:pBdr/>
        <w:spacing w:after="100" w:before="220"/>
        <w:ind/>
        <w:rPr>
          <w:highlight w:val="none"/>
        </w:rPr>
      </w:pPr>
      <w:r>
        <w:t xml:space="preserve">5. Odabrana kategorija vaučera (označiti jednu)</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tcBorders/>
            <w:tcMar>
              <w:left w:w="100" w:type="dxa"/>
              <w:top w:w="60" w:type="dxa"/>
              <w:right w:w="100" w:type="dxa"/>
              <w:bottom w:w="60" w:type="dxa"/>
            </w:tcMar>
            <w:tcW w:w="3200" w:type="dxa"/>
            <w:vAlign w:val="center"/>
          </w:tcPr>
          <w:p>
            <w:pPr>
              <w:pBdr/>
              <w:spacing/>
              <w:ind/>
              <w:rPr/>
            </w:pPr>
            <w:r>
              <w:t xml:space="preserve">☐</w:t>
            </w:r>
            <w:r>
              <w:t xml:space="preserve">  Mali vaučer</w:t>
            </w:r>
            <w:r/>
          </w:p>
        </w:tc>
        <w:tc>
          <w:tcPr>
            <w:tcBorders/>
            <w:tcMar>
              <w:left w:w="100" w:type="dxa"/>
              <w:top w:w="60" w:type="dxa"/>
              <w:right w:w="100" w:type="dxa"/>
              <w:bottom w:w="60" w:type="dxa"/>
            </w:tcMar>
            <w:tcW w:w="5826" w:type="dxa"/>
            <w:vAlign w:val="center"/>
          </w:tcPr>
          <w:p>
            <w:pPr>
              <w:pBdr/>
              <w:spacing/>
              <w:ind/>
              <w:rPr/>
            </w:pPr>
            <w:r>
              <w:t xml:space="preserve">40 sati – polog 280,00 EUR</w:t>
            </w:r>
            <w:r/>
          </w:p>
        </w:tc>
      </w:tr>
      <w:tr>
        <w:trPr/>
        <w:tc>
          <w:tcPr>
            <w:tcBorders/>
            <w:tcMar>
              <w:left w:w="100" w:type="dxa"/>
              <w:top w:w="60" w:type="dxa"/>
              <w:right w:w="100" w:type="dxa"/>
              <w:bottom w:w="60" w:type="dxa"/>
            </w:tcMar>
            <w:tcW w:w="3200" w:type="dxa"/>
            <w:vAlign w:val="center"/>
          </w:tcPr>
          <w:p>
            <w:pPr>
              <w:pBdr/>
              <w:spacing/>
              <w:ind/>
              <w:rPr/>
            </w:pPr>
            <w:r>
              <w:t xml:space="preserve">☐</w:t>
            </w:r>
            <w:r>
              <w:t xml:space="preserve">  Srednji vaučer</w:t>
            </w:r>
            <w:r/>
          </w:p>
        </w:tc>
        <w:tc>
          <w:tcPr>
            <w:tcBorders/>
            <w:tcMar>
              <w:left w:w="100" w:type="dxa"/>
              <w:top w:w="60" w:type="dxa"/>
              <w:right w:w="100" w:type="dxa"/>
              <w:bottom w:w="60" w:type="dxa"/>
            </w:tcMar>
            <w:tcW w:w="5826" w:type="dxa"/>
            <w:vAlign w:val="center"/>
          </w:tcPr>
          <w:p>
            <w:pPr>
              <w:pBdr/>
              <w:spacing/>
              <w:ind/>
              <w:rPr/>
            </w:pPr>
            <w:r>
              <w:t xml:space="preserve">80 sati – polog 560,00 EUR</w:t>
            </w:r>
            <w:r/>
          </w:p>
        </w:tc>
      </w:tr>
      <w:tr>
        <w:trPr/>
        <w:tc>
          <w:tcPr>
            <w:tcBorders/>
            <w:tcMar>
              <w:left w:w="100" w:type="dxa"/>
              <w:top w:w="60" w:type="dxa"/>
              <w:right w:w="100" w:type="dxa"/>
              <w:bottom w:w="60" w:type="dxa"/>
            </w:tcMar>
            <w:tcW w:w="3200" w:type="dxa"/>
            <w:vAlign w:val="center"/>
          </w:tcPr>
          <w:p>
            <w:pPr>
              <w:pBdr/>
              <w:spacing/>
              <w:ind/>
              <w:rPr/>
            </w:pPr>
            <w:r>
              <w:t xml:space="preserve">☐</w:t>
            </w:r>
            <w:r>
              <w:t xml:space="preserve">  Veliki vaučer</w:t>
            </w:r>
            <w:r/>
          </w:p>
        </w:tc>
        <w:tc>
          <w:tcPr>
            <w:tcBorders/>
            <w:tcMar>
              <w:left w:w="100" w:type="dxa"/>
              <w:top w:w="60" w:type="dxa"/>
              <w:right w:w="100" w:type="dxa"/>
              <w:bottom w:w="60" w:type="dxa"/>
            </w:tcMar>
            <w:tcW w:w="5826" w:type="dxa"/>
            <w:vAlign w:val="center"/>
          </w:tcPr>
          <w:p>
            <w:pPr>
              <w:pBdr/>
              <w:spacing/>
              <w:ind/>
              <w:rPr/>
            </w:pPr>
            <w:r>
              <w:t xml:space="preserve">160 sati – polog 1.120,00 EUR</w:t>
            </w:r>
            <w:r/>
          </w:p>
        </w:tc>
      </w:tr>
    </w:tbl>
    <w:p>
      <w:pPr>
        <w:pStyle w:val="899"/>
        <w:pBdr/>
        <w:spacing w:after="100" w:before="220"/>
        <w:ind/>
        <w:rPr/>
      </w:pPr>
      <w:r>
        <w:t xml:space="preserve">6. Podaci o traženom korištenju prostora</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Predviđena svrha korištenja (edukacija, sastanak, radionica, prezentacija…)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Okvirni broj sati po pojedinom terminu</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Okvirna dinamika/razdoblje korištenja (ako je poznato)</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Napomena / posebni zahtjevi</w:t>
            </w:r>
            <w:r/>
          </w:p>
        </w:tc>
        <w:tc>
          <w:tcPr>
            <w:tcBorders/>
            <w:tcMar>
              <w:left w:w="100" w:type="dxa"/>
              <w:top w:w="60" w:type="dxa"/>
              <w:right w:w="100" w:type="dxa"/>
              <w:bottom w:w="60" w:type="dxa"/>
            </w:tcMar>
            <w:tcW w:w="5826" w:type="dxa"/>
          </w:tcPr>
          <w:p>
            <w:pPr>
              <w:pBdr/>
              <w:spacing/>
              <w:ind/>
              <w:rPr/>
            </w:pPr>
            <w:r>
              <w:t xml:space="preserve"> </w:t>
            </w:r>
            <w:r/>
          </w:p>
          <w:p>
            <w:pPr>
              <w:pBdr/>
              <w:spacing/>
              <w:ind/>
              <w:rPr/>
            </w:pPr>
            <w:r>
              <w:t xml:space="preserve"> </w:t>
            </w:r>
            <w:r/>
          </w:p>
          <w:p>
            <w:pPr>
              <w:pBdr/>
              <w:spacing/>
              <w:ind/>
              <w:rPr/>
            </w:pPr>
            <w:r>
              <w:t xml:space="preserve"> </w:t>
            </w:r>
            <w:r/>
          </w:p>
        </w:tc>
      </w:tr>
    </w:tbl>
    <w:p>
      <w:pPr>
        <w:pStyle w:val="899"/>
        <w:pBdr/>
        <w:spacing w:after="100" w:before="220"/>
        <w:ind/>
        <w:rPr/>
      </w:pPr>
      <w:r>
        <w:t xml:space="preserve">7. Izjave podnositelja</w:t>
      </w:r>
      <w:r/>
    </w:p>
    <w:p>
      <w:pPr>
        <w:pBdr/>
        <w:spacing w:after="140"/>
        <w:ind/>
        <w:rPr/>
      </w:pPr>
      <w:r>
        <w:t xml:space="preserve">☐</w:t>
      </w:r>
      <w:r>
        <w:t xml:space="preserve"> Izjavljujem da su svi navedeni podaci točni, potpuni i istiniti.</w:t>
      </w:r>
      <w:r/>
    </w:p>
    <w:p>
      <w:pPr>
        <w:pBdr/>
        <w:spacing w:after="140"/>
        <w:ind/>
        <w:rPr/>
      </w:pPr>
      <w:r>
        <w:t xml:space="preserve">☐</w:t>
      </w:r>
      <w:r>
        <w:t xml:space="preserve"> Izjavljujem da sam upoznat/a sa sadržajem Programa i uvjetima korištenja vaučera iz članka 6. i 10. Programa.</w:t>
      </w:r>
      <w:r/>
    </w:p>
    <w:p>
      <w:pPr>
        <w:pBdr/>
        <w:spacing w:after="140"/>
        <w:ind/>
        <w:rPr/>
      </w:pPr>
      <w:r>
        <w:t xml:space="preserve">☐</w:t>
      </w:r>
      <w:r>
        <w:t xml:space="preserve"> Izjavljujem da je poduzetnik mikro poduzetnik u smislu Priloga I. Uredbe Komisije (EU) br. 651/2014, te da nije srednji ni veliki poduzetnik.</w:t>
      </w:r>
      <w:r/>
    </w:p>
    <w:p>
      <w:pPr>
        <w:pBdr/>
        <w:spacing w:after="140"/>
        <w:ind/>
        <w:rPr/>
      </w:pPr>
      <w:r>
        <w:t xml:space="preserve">☐</w:t>
      </w:r>
      <w:r>
        <w:t xml:space="preserve"> Izjavljujem da sam registriran/a i da najmanje 12 mjeseci neprekidno djelujem na području Grada Kašte</w:t>
      </w:r>
      <w:r>
        <w:t xml:space="preserve">la te prilažem odgovarajući izvadak iz registra.</w:t>
      </w:r>
      <w:r/>
    </w:p>
    <w:p>
      <w:pPr>
        <w:pBdr/>
        <w:spacing w:after="140"/>
        <w:ind/>
        <w:rPr/>
      </w:pPr>
      <w:r>
        <w:t xml:space="preserve">☐</w:t>
      </w:r>
      <w:r>
        <w:t xml:space="preserve"> Suglasan/na sam da polog za odabranu kategoriju vaučera platim unaprijed, prije izdavanja vaučera, sukladno članku 7. i 9. Programa.</w:t>
      </w:r>
      <w:r/>
    </w:p>
    <w:p>
      <w:pPr>
        <w:pBdr/>
        <w:spacing w:after="140"/>
        <w:ind/>
        <w:rPr/>
      </w:pPr>
      <w:r>
        <w:t xml:space="preserve">☐</w:t>
      </w:r>
      <w:r>
        <w:t xml:space="preserve"> Prilažem popunjenu i potpisanu Izjavu prijavitelja o primljenim de </w:t>
      </w:r>
      <w:r>
        <w:t xml:space="preserve">min</w:t>
      </w:r>
      <w:r>
        <w:t xml:space="preserve">imis</w:t>
      </w:r>
      <w:r>
        <w:t xml:space="preserve"> potporama (Prilog 2).</w:t>
      </w:r>
      <w:r/>
    </w:p>
    <w:p>
      <w:pPr>
        <w:pBdr/>
        <w:spacing w:after="260"/>
        <w:ind/>
        <w:rPr/>
      </w:pPr>
      <w:r>
        <w:t xml:space="preserve">☐</w:t>
      </w:r>
      <w:r>
        <w:t xml:space="preserve"> Suglasan/na sam s obradom osobnih podataka navedenih u ovom obrascu u svrhu provedbe postupka dodjele potpore.</w:t>
      </w:r>
      <w:r/>
    </w:p>
    <w:p w14:paraId="51ED5E16">
      <w:pPr>
        <w:pBdr/>
        <w:spacing w:after="60" w:before="200"/>
        <w:ind/>
        <w:rPr/>
      </w:pPr>
      <w:r>
        <w:rPr>
          <w:highlight w:val="none"/>
        </w:rPr>
      </w:r>
      <w:r>
        <w:rPr>
          <w:highlight w:val="none"/>
        </w:rPr>
      </w:r>
      <w:r>
        <w:rPr>
          <w:highlight w:val="none"/>
        </w:rPr>
      </w:r>
    </w:p>
    <w:p>
      <w:pPr>
        <w:pBdr/>
        <w:spacing w:after="60" w:before="200"/>
        <w:ind/>
        <w:rPr>
          <w:highlight w:val="none"/>
        </w:rPr>
      </w:pPr>
      <w:r>
        <w:t xml:space="preserve">Mjesto i datum: _______________________</w:t>
      </w:r>
      <w:r/>
    </w:p>
    <w:p w14:paraId="2235EBC6">
      <w:pPr>
        <w:pBdr/>
        <w:spacing w:before="200"/>
        <w:ind/>
        <w:jc w:val="right"/>
        <w:rPr/>
      </w:pPr>
      <w:r>
        <w:rPr>
          <w:highlight w:val="none"/>
        </w:rPr>
      </w:r>
      <w:r>
        <w:rPr>
          <w:highlight w:val="none"/>
        </w:rPr>
      </w:r>
      <w:r>
        <w:rPr>
          <w:highlight w:val="none"/>
        </w:rPr>
      </w:r>
    </w:p>
    <w:p>
      <w:pPr>
        <w:pBdr/>
        <w:spacing w:before="200"/>
        <w:ind/>
        <w:jc w:val="right"/>
        <w:rPr>
          <w:highlight w:val="none"/>
        </w:rPr>
      </w:pPr>
      <w:r>
        <w:t xml:space="preserve">Potpis podnositelja : _______________________</w:t>
      </w:r>
      <w:r/>
    </w:p>
    <w:p>
      <w:pPr>
        <w:pBdr/>
        <w:spacing/>
        <w:ind/>
        <w:rPr/>
      </w:pPr>
      <w:r>
        <w:br w:type="page" w:clear="all"/>
      </w:r>
      <w:r/>
    </w:p>
    <w:p>
      <w:pPr>
        <w:pBdr/>
        <w:spacing/>
        <w:ind/>
        <w:rPr/>
      </w:pPr>
      <w:r>
        <w:t xml:space="preserve">c</w:t>
      </w:r>
      <w:r/>
    </w:p>
    <w:p>
      <w:pPr>
        <w:pStyle w:val="898"/>
        <w:pBdr/>
        <w:spacing w:after="160" w:before="300"/>
        <w:ind/>
        <w:rPr/>
      </w:pPr>
      <w:r>
        <w:t xml:space="preserve">PRILOG 3 – </w:t>
        <w:br/>
        <w:t xml:space="preserve">IRI HUB Vaučer – Potvrda o dodjeli potpore male vrijednosti</w:t>
      </w:r>
      <w:r/>
    </w:p>
    <w:p>
      <w:pPr>
        <w:pBdr/>
        <w:spacing w:after="240"/>
        <w:ind/>
        <w:rPr/>
      </w:pPr>
      <w:r>
        <w:rPr>
          <w:i/>
          <w:iCs/>
        </w:rPr>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Broj vaučera</w:t>
            </w:r>
            <w:r/>
          </w:p>
        </w:tc>
        <w:tc>
          <w:tcPr>
            <w:tcBorders/>
            <w:tcMar>
              <w:left w:w="100" w:type="dxa"/>
              <w:top w:w="60" w:type="dxa"/>
              <w:right w:w="100" w:type="dxa"/>
              <w:bottom w:w="60" w:type="dxa"/>
            </w:tcMar>
            <w:tcW w:w="5826" w:type="dxa"/>
            <w:vAlign w:val="center"/>
          </w:tcPr>
          <w:p>
            <w:pPr>
              <w:pBdr/>
              <w:spacing/>
              <w:ind/>
              <w:rPr/>
            </w:pPr>
            <w:r>
              <w:t xml:space="preserve">[IRIHUBV-____/20__]</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Davatelj</w:t>
            </w:r>
            <w:r/>
          </w:p>
        </w:tc>
        <w:tc>
          <w:tcPr>
            <w:tcBorders/>
            <w:tcMar>
              <w:left w:w="100" w:type="dxa"/>
              <w:top w:w="60" w:type="dxa"/>
              <w:right w:w="100" w:type="dxa"/>
              <w:bottom w:w="60" w:type="dxa"/>
            </w:tcMar>
            <w:tcW w:w="5826" w:type="dxa"/>
            <w:vAlign w:val="center"/>
          </w:tcPr>
          <w:p>
            <w:pPr>
              <w:pBdr/>
              <w:spacing/>
              <w:ind/>
              <w:rPr/>
            </w:pPr>
            <w:r>
              <w:t xml:space="preserve">IRI CENTAR d.o.o.</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Korisnik (naziv, OIB)</w:t>
            </w:r>
            <w:r/>
          </w:p>
        </w:tc>
        <w:tc>
          <w:tcPr>
            <w:tcBorders/>
            <w:tcMar>
              <w:left w:w="100" w:type="dxa"/>
              <w:top w:w="60" w:type="dxa"/>
              <w:right w:w="100" w:type="dxa"/>
              <w:bottom w:w="60" w:type="dxa"/>
            </w:tcMar>
            <w:tcW w:w="5826" w:type="dxa"/>
            <w:vAlign w:val="center"/>
          </w:tcPr>
          <w:p>
            <w:pPr>
              <w:pBdr/>
              <w:spacing/>
              <w:ind/>
              <w:rPr/>
            </w:pPr>
            <w:r>
              <w:t xml:space="preserve">[__________]</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Prostor</w:t>
            </w:r>
            <w:r/>
          </w:p>
        </w:tc>
        <w:tc>
          <w:tcPr>
            <w:tcBorders/>
            <w:tcMar>
              <w:left w:w="100" w:type="dxa"/>
              <w:top w:w="60" w:type="dxa"/>
              <w:right w:w="100" w:type="dxa"/>
              <w:bottom w:w="60" w:type="dxa"/>
            </w:tcMar>
            <w:tcW w:w="5826" w:type="dxa"/>
            <w:vAlign w:val="center"/>
          </w:tcPr>
          <w:p>
            <w:pPr>
              <w:pBdr/>
              <w:spacing/>
              <w:ind/>
              <w:rPr/>
            </w:pPr>
            <w:r>
              <w:t xml:space="preserve">IRI HUB učionica</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Kategorija vaučera</w:t>
            </w:r>
            <w:r/>
          </w:p>
        </w:tc>
        <w:tc>
          <w:tcPr>
            <w:tcBorders/>
            <w:tcMar>
              <w:left w:w="100" w:type="dxa"/>
              <w:top w:w="60" w:type="dxa"/>
              <w:right w:w="100" w:type="dxa"/>
              <w:bottom w:w="60" w:type="dxa"/>
            </w:tcMar>
            <w:tcW w:w="5826" w:type="dxa"/>
            <w:vAlign w:val="center"/>
          </w:tcPr>
          <w:p>
            <w:pPr>
              <w:pBdr/>
              <w:spacing/>
              <w:ind/>
              <w:rPr/>
            </w:pPr>
            <w:r>
              <w:t xml:space="preserve">[Mali (40 h) / Srednji (80 h) / Veliki (160 h)]</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Ukupan broj dodijeljenih sati</w:t>
            </w:r>
            <w:r/>
          </w:p>
        </w:tc>
        <w:tc>
          <w:tcPr>
            <w:tcBorders/>
            <w:tcMar>
              <w:left w:w="100" w:type="dxa"/>
              <w:top w:w="60" w:type="dxa"/>
              <w:right w:w="100" w:type="dxa"/>
              <w:bottom w:w="60" w:type="dxa"/>
            </w:tcMar>
            <w:tcW w:w="5826" w:type="dxa"/>
            <w:vAlign w:val="center"/>
          </w:tcPr>
          <w:p>
            <w:pPr>
              <w:pBdr/>
              <w:spacing/>
              <w:ind/>
              <w:rPr/>
            </w:pPr>
            <w:r>
              <w:t xml:space="preserve">[40 / 80 / 160]</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Tržišna cijena po satu</w:t>
            </w:r>
            <w:r/>
          </w:p>
        </w:tc>
        <w:tc>
          <w:tcPr>
            <w:tcBorders/>
            <w:tcMar>
              <w:left w:w="100" w:type="dxa"/>
              <w:top w:w="60" w:type="dxa"/>
              <w:right w:w="100" w:type="dxa"/>
              <w:bottom w:w="60" w:type="dxa"/>
            </w:tcMar>
            <w:tcW w:w="5826" w:type="dxa"/>
            <w:vAlign w:val="center"/>
          </w:tcPr>
          <w:p>
            <w:pPr>
              <w:pBdr/>
              <w:spacing/>
              <w:ind/>
              <w:rPr/>
            </w:pPr>
            <w:r>
              <w:t xml:space="preserve">35,00 EUR/h</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Polog korisnika (20%, plaćen unaprijed)</w:t>
            </w:r>
            <w:r/>
          </w:p>
        </w:tc>
        <w:tc>
          <w:tcPr>
            <w:tcBorders/>
            <w:tcMar>
              <w:left w:w="100" w:type="dxa"/>
              <w:top w:w="60" w:type="dxa"/>
              <w:right w:w="100" w:type="dxa"/>
              <w:bottom w:w="60" w:type="dxa"/>
            </w:tcMar>
            <w:tcW w:w="5826" w:type="dxa"/>
            <w:vAlign w:val="center"/>
          </w:tcPr>
          <w:p>
            <w:pPr>
              <w:pBdr/>
              <w:spacing/>
              <w:ind/>
              <w:rPr/>
            </w:pPr>
            <w:r>
              <w:t xml:space="preserve">[280,00 / 560,00 / 1.120,00] EUR</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Datum uplate pologa</w:t>
            </w:r>
            <w:r/>
          </w:p>
        </w:tc>
        <w:tc>
          <w:tcPr>
            <w:tcBorders/>
            <w:tcMar>
              <w:left w:w="100" w:type="dxa"/>
              <w:top w:w="60" w:type="dxa"/>
              <w:right w:w="100" w:type="dxa"/>
              <w:bottom w:w="60" w:type="dxa"/>
            </w:tcMar>
            <w:tcW w:w="5826" w:type="dxa"/>
            <w:vAlign w:val="center"/>
          </w:tcPr>
          <w:p>
            <w:pPr>
              <w:pBdr/>
              <w:spacing/>
              <w:ind/>
              <w:rPr/>
            </w:pPr>
            <w:r>
              <w:t xml:space="preserve">[__.__.20__.]</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Najviša moguća vrijednost de </w:t>
            </w:r>
            <w:r>
              <w:rPr>
                <w:b/>
                <w:bCs/>
              </w:rPr>
              <w:t xml:space="preserve">minimis</w:t>
            </w:r>
            <w:r>
              <w:rPr>
                <w:b/>
                <w:bCs/>
              </w:rPr>
              <w:t xml:space="preserve"> potpore (80%, GGE)</w:t>
            </w:r>
            <w:r/>
          </w:p>
        </w:tc>
        <w:tc>
          <w:tcPr>
            <w:tcBorders/>
            <w:tcMar>
              <w:left w:w="100" w:type="dxa"/>
              <w:top w:w="60" w:type="dxa"/>
              <w:right w:w="100" w:type="dxa"/>
              <w:bottom w:w="60" w:type="dxa"/>
            </w:tcMar>
            <w:tcW w:w="5826" w:type="dxa"/>
            <w:vAlign w:val="center"/>
          </w:tcPr>
          <w:p>
            <w:pPr>
              <w:pBdr/>
              <w:spacing/>
              <w:ind/>
              <w:rPr/>
            </w:pPr>
            <w:r>
              <w:t xml:space="preserve">[1.120,00 / 2.240,00 / 4.480,00] EUR</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Datum izdavanja (datum dodjele potpore)</w:t>
            </w:r>
            <w:r/>
          </w:p>
        </w:tc>
        <w:tc>
          <w:tcPr>
            <w:tcBorders/>
            <w:tcMar>
              <w:left w:w="100" w:type="dxa"/>
              <w:top w:w="60" w:type="dxa"/>
              <w:right w:w="100" w:type="dxa"/>
              <w:bottom w:w="60" w:type="dxa"/>
            </w:tcMar>
            <w:tcW w:w="5826" w:type="dxa"/>
            <w:vAlign w:val="center"/>
          </w:tcPr>
          <w:p>
            <w:pPr>
              <w:pBdr/>
              <w:spacing/>
              <w:ind/>
              <w:rPr/>
            </w:pPr>
            <w:r>
              <w:t xml:space="preserve">[__.__.20__.]</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Rok važenja vaučera</w:t>
            </w:r>
            <w:r/>
          </w:p>
        </w:tc>
        <w:tc>
          <w:tcPr>
            <w:tcBorders/>
            <w:tcMar>
              <w:left w:w="100" w:type="dxa"/>
              <w:top w:w="60" w:type="dxa"/>
              <w:right w:w="100" w:type="dxa"/>
              <w:bottom w:w="60" w:type="dxa"/>
            </w:tcMar>
            <w:tcW w:w="5826" w:type="dxa"/>
            <w:vAlign w:val="center"/>
          </w:tcPr>
          <w:p>
            <w:pPr>
              <w:pBdr/>
              <w:spacing/>
              <w:ind/>
              <w:rPr/>
            </w:pPr>
            <w:r>
              <w:t xml:space="preserve">[__.__.20__.] (12 mjeseci od izdavanja)</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Pravna osnova</w:t>
            </w:r>
            <w:r/>
          </w:p>
        </w:tc>
        <w:tc>
          <w:tcPr>
            <w:tcBorders/>
            <w:tcMar>
              <w:left w:w="100" w:type="dxa"/>
              <w:top w:w="60" w:type="dxa"/>
              <w:right w:w="100" w:type="dxa"/>
              <w:bottom w:w="60" w:type="dxa"/>
            </w:tcMar>
            <w:tcW w:w="5826" w:type="dxa"/>
            <w:vAlign w:val="center"/>
          </w:tcPr>
          <w:p>
            <w:pPr>
              <w:pBdr/>
              <w:spacing/>
              <w:ind/>
              <w:rPr/>
            </w:pPr>
            <w:r>
              <w:t xml:space="preserve">Program dodjele potpora male vri</w:t>
            </w:r>
            <w:r>
              <w:t xml:space="preserve">jednosti (de </w:t>
            </w:r>
            <w:r>
              <w:t xml:space="preserve">minimis</w:t>
            </w:r>
            <w:r>
              <w:t xml:space="preserve">) "Vaučer za korištenje učionice / sale za sastanke"; Uredba Komisije (EU) 2023/2831</w:t>
            </w:r>
            <w:r/>
          </w:p>
        </w:tc>
      </w:tr>
    </w:tbl>
    <w:p>
      <w:pPr>
        <w:pBdr/>
        <w:spacing w:after="200"/>
        <w:ind/>
        <w:rPr>
          <w:sz w:val="20"/>
          <w:szCs w:val="20"/>
        </w:rPr>
      </w:pPr>
      <w:r>
        <w:rPr>
          <w:sz w:val="20"/>
          <w:szCs w:val="20"/>
        </w:rPr>
        <w:br/>
        <w:t xml:space="preserve">Ovim se potvrđuje da je gore navedenom korisniku, nakon uplate pologa u naznačenom iznosu, dodijeljena potpora male vrijednosti (de </w:t>
      </w:r>
      <w:r>
        <w:rPr>
          <w:sz w:val="20"/>
          <w:szCs w:val="20"/>
        </w:rPr>
        <w:t xml:space="preserve">minimis</w:t>
      </w:r>
      <w:r>
        <w:rPr>
          <w:sz w:val="20"/>
          <w:szCs w:val="20"/>
        </w:rPr>
        <w:t xml:space="preserve">) u obliku </w:t>
      </w:r>
      <w:r>
        <w:rPr>
          <w:sz w:val="20"/>
          <w:szCs w:val="20"/>
        </w:rPr>
        <w:t xml:space="preserve">prava na korištenje navedenog prostora u ukupnom trajanju sukladno odabranoj kategoriji vaučera, sukladno Programu dodjele potpora male vrijednosti (de </w:t>
      </w:r>
      <w:r>
        <w:rPr>
          <w:sz w:val="20"/>
          <w:szCs w:val="20"/>
        </w:rPr>
        <w:t xml:space="preserve">minimis</w:t>
      </w:r>
      <w:r>
        <w:rPr>
          <w:sz w:val="20"/>
          <w:szCs w:val="20"/>
        </w:rPr>
        <w:t xml:space="preserve">) "Vaučer za korištenje učionice / sale za sastanke" i Uredbi Komisije (EU) 2023/2831 od 13. pros</w:t>
      </w:r>
      <w:r>
        <w:rPr>
          <w:sz w:val="20"/>
          <w:szCs w:val="20"/>
        </w:rPr>
        <w:t xml:space="preserve">inca 2023. o primjeni članaka 107. i 108. Ugovora o funkcioniranju Europske unije na de </w:t>
      </w:r>
      <w:r>
        <w:rPr>
          <w:sz w:val="20"/>
          <w:szCs w:val="20"/>
        </w:rPr>
        <w:t xml:space="preserve">minimis</w:t>
      </w:r>
      <w:r>
        <w:rPr>
          <w:sz w:val="20"/>
          <w:szCs w:val="20"/>
        </w:rPr>
        <w:t xml:space="preserve"> potpore (SL EU L 2023/2831).</w:t>
      </w:r>
      <w:r>
        <w:rPr>
          <w:sz w:val="20"/>
          <w:szCs w:val="20"/>
        </w:rPr>
      </w:r>
    </w:p>
    <w:p>
      <w:pPr>
        <w:pBdr/>
        <w:spacing w:after="300"/>
        <w:ind/>
        <w:rPr>
          <w:sz w:val="20"/>
          <w:szCs w:val="20"/>
        </w:rPr>
      </w:pPr>
      <w:r>
        <w:rPr>
          <w:sz w:val="20"/>
          <w:szCs w:val="20"/>
        </w:rPr>
        <w:t xml:space="preserve">Konačna vrijednost dodijeljene potpore utvrđuje se prema broju stvarno iskorištenih sati evidentiranih u Evidencijskom listu korišt</w:t>
      </w:r>
      <w:r>
        <w:rPr>
          <w:sz w:val="20"/>
          <w:szCs w:val="20"/>
        </w:rPr>
        <w:t xml:space="preserve">enja vaučera (Prilog 4), a ne prema najvišoj mogućoj vrijednosti iz ove potvrde. Neiskorišteni sati po isteku roka važenja ne prenose se niti se isplaćuju u novcu.</w:t>
      </w:r>
      <w:r>
        <w:rPr>
          <w:sz w:val="20"/>
          <w:szCs w:val="20"/>
        </w:rPr>
      </w:r>
    </w:p>
    <w:p>
      <w:pPr>
        <w:pBdr/>
        <w:spacing w:after="60" w:before="200"/>
        <w:ind/>
        <w:rPr>
          <w:sz w:val="20"/>
          <w:szCs w:val="20"/>
        </w:rPr>
      </w:pPr>
      <w:r>
        <w:rPr>
          <w:sz w:val="20"/>
          <w:szCs w:val="20"/>
        </w:rPr>
        <w:t xml:space="preserve">Mjesto i datum: _______________________</w:t>
      </w:r>
      <w:r>
        <w:rPr>
          <w:sz w:val="20"/>
          <w:szCs w:val="20"/>
        </w:rPr>
      </w:r>
    </w:p>
    <w:p>
      <w:pPr>
        <w:pBdr/>
        <w:spacing w:before="200"/>
        <w:ind/>
        <w:jc w:val="right"/>
        <w:rPr>
          <w:sz w:val="20"/>
          <w:szCs w:val="20"/>
        </w:rPr>
      </w:pPr>
      <w:r>
        <w:rPr>
          <w:sz w:val="20"/>
          <w:szCs w:val="20"/>
        </w:rPr>
        <w:t xml:space="preserve">Za Davatelja: _______________________ (ime, prezime, potpis)</w:t>
      </w:r>
      <w:r>
        <w:rPr>
          <w:sz w:val="20"/>
          <w:szCs w:val="20"/>
        </w:rPr>
      </w:r>
    </w:p>
    <w:p>
      <w:pPr>
        <w:pBdr/>
        <w:spacing/>
        <w:ind/>
        <w:rPr/>
      </w:pPr>
      <w:r>
        <w:br w:type="page" w:clear="all"/>
      </w:r>
      <w:r/>
    </w:p>
    <w:p>
      <w:pPr>
        <w:pStyle w:val="898"/>
        <w:pBdr/>
        <w:spacing w:after="160" w:before="300"/>
        <w:ind/>
        <w:rPr/>
      </w:pPr>
      <w:r>
        <w:t xml:space="preserve">PRILOG 4 – EVIDENCIJSKI LIST KORIŠTENJA IRI HUB VAUČERA</w:t>
      </w:r>
      <w:r/>
    </w:p>
    <w:p>
      <w:pPr>
        <w:pBdr/>
        <w:spacing w:after="200"/>
        <w:ind/>
        <w:rPr/>
      </w:pPr>
      <w:r>
        <w:rPr>
          <w:i/>
          <w:iCs/>
        </w:rPr>
        <w:t xml:space="preserve">(vodi Davatelj za svakog korisnika zasebno; sastavni je dio dokumentacije o dodijeljenoj potpori)</w:t>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00"/>
        <w:gridCol w:w="5826"/>
      </w:tblGrid>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Broj vaučera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Korisnik (naziv, OIB)</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Kategorija vaučera</w:t>
            </w:r>
            <w:r/>
          </w:p>
        </w:tc>
        <w:tc>
          <w:tcPr>
            <w:tcBorders/>
            <w:tcMar>
              <w:left w:w="100" w:type="dxa"/>
              <w:top w:w="60" w:type="dxa"/>
              <w:right w:w="100" w:type="dxa"/>
              <w:bottom w:w="60" w:type="dxa"/>
            </w:tcMar>
            <w:tcW w:w="5826" w:type="dxa"/>
          </w:tcPr>
          <w:p>
            <w:pPr>
              <w:pBdr/>
              <w:spacing/>
              <w:ind/>
              <w:rPr/>
            </w:pPr>
            <w:r>
              <w:t xml:space="preserve"> </w:t>
            </w:r>
            <w:r/>
          </w:p>
        </w:tc>
      </w:tr>
      <w:tr>
        <w:trPr/>
        <w:tc>
          <w:tcPr>
            <w:shd w:val="clear" w:color="auto" w:fill="f2f2f2"/>
            <w:tcBorders/>
            <w:tcMar>
              <w:left w:w="100" w:type="dxa"/>
              <w:top w:w="60" w:type="dxa"/>
              <w:right w:w="100" w:type="dxa"/>
              <w:bottom w:w="60" w:type="dxa"/>
            </w:tcMar>
            <w:tcW w:w="3200" w:type="dxa"/>
            <w:vAlign w:val="center"/>
          </w:tcPr>
          <w:p>
            <w:pPr>
              <w:pBdr/>
              <w:spacing/>
              <w:ind/>
              <w:rPr/>
            </w:pPr>
            <w:r>
              <w:rPr>
                <w:b/>
                <w:bCs/>
              </w:rPr>
              <w:t xml:space="preserve">Ukupno dodijeljenih sati (40 / 80 / 160)</w:t>
            </w:r>
            <w:r/>
          </w:p>
        </w:tc>
        <w:tc>
          <w:tcPr>
            <w:tcBorders/>
            <w:tcMar>
              <w:left w:w="100" w:type="dxa"/>
              <w:top w:w="60" w:type="dxa"/>
              <w:right w:w="100" w:type="dxa"/>
              <w:bottom w:w="60" w:type="dxa"/>
            </w:tcMar>
            <w:tcW w:w="5826" w:type="dxa"/>
          </w:tcPr>
          <w:p>
            <w:pPr>
              <w:pBdr/>
              <w:spacing/>
              <w:ind/>
              <w:rPr/>
            </w:pPr>
            <w:r>
              <w:t xml:space="preserve"> </w:t>
            </w:r>
            <w:r/>
          </w:p>
        </w:tc>
      </w:tr>
    </w:tbl>
    <w:p>
      <w:pPr>
        <w:pBdr/>
        <w:spacing w:after="160" w:before="240"/>
        <w:ind/>
        <w:rPr/>
      </w:pPr>
      <w:r/>
      <w:r/>
    </w:p>
    <w:tbl>
      <w:tblPr>
        <w:tblW w:w="9026" w:type="dxa"/>
        <w:tblCellMar>
          <w:left w:w="10" w:type="dxa"/>
          <w:right w:w="1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98"/>
        <w:gridCol w:w="1493"/>
        <w:gridCol w:w="1889"/>
        <w:gridCol w:w="1299"/>
        <w:gridCol w:w="1620"/>
        <w:gridCol w:w="1000"/>
        <w:gridCol w:w="1027"/>
      </w:tblGrid>
      <w:tr>
        <w:trPr/>
        <w:tc>
          <w:tcPr>
            <w:shd w:val="clear" w:color="auto" w:fill="f2f2f2"/>
            <w:tcBorders/>
            <w:tcMar>
              <w:left w:w="100" w:type="dxa"/>
              <w:top w:w="60" w:type="dxa"/>
              <w:right w:w="100" w:type="dxa"/>
              <w:bottom w:w="60" w:type="dxa"/>
            </w:tcMar>
            <w:tcW w:w="700" w:type="dxa"/>
            <w:vAlign w:val="center"/>
          </w:tcPr>
          <w:p>
            <w:pPr>
              <w:pBdr/>
              <w:spacing/>
              <w:ind/>
              <w:jc w:val="center"/>
              <w:rPr/>
            </w:pPr>
            <w:r>
              <w:rPr>
                <w:b/>
                <w:bCs/>
              </w:rPr>
              <w:t xml:space="preserve">Rbr</w:t>
            </w:r>
            <w:r>
              <w:rPr>
                <w:b/>
                <w:bCs/>
              </w:rPr>
              <w:t xml:space="preserve">.</w:t>
            </w:r>
            <w:r/>
          </w:p>
        </w:tc>
        <w:tc>
          <w:tcPr>
            <w:shd w:val="clear" w:color="auto" w:fill="f2f2f2"/>
            <w:tcBorders/>
            <w:tcMar>
              <w:left w:w="100" w:type="dxa"/>
              <w:top w:w="60" w:type="dxa"/>
              <w:right w:w="100" w:type="dxa"/>
              <w:bottom w:w="60" w:type="dxa"/>
            </w:tcMar>
            <w:tcW w:w="1500" w:type="dxa"/>
            <w:vAlign w:val="center"/>
          </w:tcPr>
          <w:p>
            <w:pPr>
              <w:pBdr/>
              <w:spacing/>
              <w:ind/>
              <w:rPr/>
            </w:pPr>
            <w:r>
              <w:rPr>
                <w:b/>
                <w:bCs/>
              </w:rPr>
              <w:t xml:space="preserve">Datum</w:t>
            </w:r>
            <w:r/>
          </w:p>
        </w:tc>
        <w:tc>
          <w:tcPr>
            <w:shd w:val="clear" w:color="auto" w:fill="f2f2f2"/>
            <w:tcBorders/>
            <w:tcMar>
              <w:left w:w="100" w:type="dxa"/>
              <w:top w:w="60" w:type="dxa"/>
              <w:right w:w="100" w:type="dxa"/>
              <w:bottom w:w="60" w:type="dxa"/>
            </w:tcMar>
            <w:tcW w:w="1900" w:type="dxa"/>
            <w:vAlign w:val="center"/>
          </w:tcPr>
          <w:p>
            <w:pPr>
              <w:pBdr/>
              <w:spacing/>
              <w:ind/>
              <w:rPr/>
            </w:pPr>
            <w:r>
              <w:rPr>
                <w:b/>
                <w:bCs/>
              </w:rPr>
              <w:t xml:space="preserve">Vrijeme (od–do)</w:t>
            </w:r>
            <w:r/>
          </w:p>
        </w:tc>
        <w:tc>
          <w:tcPr>
            <w:shd w:val="clear" w:color="auto" w:fill="f2f2f2"/>
            <w:tcBorders/>
            <w:tcMar>
              <w:left w:w="100" w:type="dxa"/>
              <w:top w:w="60" w:type="dxa"/>
              <w:right w:w="100" w:type="dxa"/>
              <w:bottom w:w="60" w:type="dxa"/>
            </w:tcMar>
            <w:tcW w:w="1300" w:type="dxa"/>
            <w:vAlign w:val="center"/>
          </w:tcPr>
          <w:p>
            <w:pPr>
              <w:pBdr/>
              <w:spacing/>
              <w:ind/>
              <w:rPr/>
            </w:pPr>
            <w:r>
              <w:rPr>
                <w:b/>
                <w:bCs/>
              </w:rPr>
              <w:t xml:space="preserve">Iskorišteno sati</w:t>
            </w:r>
            <w:r/>
          </w:p>
        </w:tc>
        <w:tc>
          <w:tcPr>
            <w:shd w:val="clear" w:color="auto" w:fill="f2f2f2"/>
            <w:tcBorders/>
            <w:tcMar>
              <w:left w:w="100" w:type="dxa"/>
              <w:top w:w="60" w:type="dxa"/>
              <w:right w:w="100" w:type="dxa"/>
              <w:bottom w:w="60" w:type="dxa"/>
            </w:tcMar>
            <w:tcW w:w="1626" w:type="dxa"/>
            <w:vAlign w:val="center"/>
          </w:tcPr>
          <w:p>
            <w:pPr>
              <w:pBdr/>
              <w:spacing/>
              <w:ind/>
              <w:rPr/>
            </w:pPr>
            <w:r>
              <w:rPr>
                <w:b/>
                <w:bCs/>
              </w:rPr>
              <w:t xml:space="preserve">Preostalo sati na vaučeru</w:t>
            </w:r>
            <w:r/>
          </w:p>
        </w:tc>
        <w:tc>
          <w:tcPr>
            <w:shd w:val="clear" w:color="auto" w:fill="f2f2f2"/>
            <w:tcBorders/>
            <w:tcMar>
              <w:left w:w="100" w:type="dxa"/>
              <w:top w:w="60" w:type="dxa"/>
              <w:right w:w="100" w:type="dxa"/>
              <w:bottom w:w="60" w:type="dxa"/>
            </w:tcMar>
            <w:tcW w:w="1000" w:type="dxa"/>
            <w:vAlign w:val="center"/>
          </w:tcPr>
          <w:p>
            <w:pPr>
              <w:pBdr/>
              <w:spacing/>
              <w:ind/>
              <w:rPr/>
            </w:pPr>
            <w:r>
              <w:rPr>
                <w:b/>
                <w:bCs/>
              </w:rPr>
              <w:t xml:space="preserve">Potpis korisnika</w:t>
            </w:r>
            <w:r/>
          </w:p>
        </w:tc>
        <w:tc>
          <w:tcPr>
            <w:shd w:val="clear" w:color="auto" w:fill="f2f2f2"/>
            <w:tcBorders/>
            <w:tcMar>
              <w:left w:w="100" w:type="dxa"/>
              <w:top w:w="60" w:type="dxa"/>
              <w:right w:w="100" w:type="dxa"/>
              <w:bottom w:w="60" w:type="dxa"/>
            </w:tcMar>
            <w:tcW w:w="1000" w:type="dxa"/>
            <w:vAlign w:val="center"/>
          </w:tcPr>
          <w:p>
            <w:pPr>
              <w:pBdr/>
              <w:spacing/>
              <w:ind/>
              <w:rPr/>
            </w:pPr>
            <w:r>
              <w:rPr>
                <w:b/>
                <w:bCs/>
              </w:rPr>
              <w:t xml:space="preserve">Potpis Davatelja</w:t>
            </w:r>
            <w:r/>
          </w:p>
        </w:tc>
      </w:tr>
      <w:tr>
        <w:trPr/>
        <w:tc>
          <w:tcPr>
            <w:tcBorders/>
            <w:tcMar>
              <w:left w:w="100" w:type="dxa"/>
              <w:top w:w="60" w:type="dxa"/>
              <w:right w:w="100" w:type="dxa"/>
              <w:bottom w:w="60" w:type="dxa"/>
            </w:tcMar>
            <w:tcW w:w="700" w:type="dxa"/>
            <w:vAlign w:val="center"/>
          </w:tcPr>
          <w:p>
            <w:pPr>
              <w:pBdr/>
              <w:spacing/>
              <w:ind/>
              <w:jc w:val="center"/>
              <w:rPr/>
            </w:pPr>
            <w:r>
              <w:t xml:space="preserve">1</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2</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3</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4</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5</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6</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7</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8</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9</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10</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11</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12</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13</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14</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15</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r>
        <w:trPr/>
        <w:tc>
          <w:tcPr>
            <w:tcBorders/>
            <w:tcMar>
              <w:left w:w="100" w:type="dxa"/>
              <w:top w:w="60" w:type="dxa"/>
              <w:right w:w="100" w:type="dxa"/>
              <w:bottom w:w="60" w:type="dxa"/>
            </w:tcMar>
            <w:tcW w:w="700" w:type="dxa"/>
            <w:vAlign w:val="center"/>
          </w:tcPr>
          <w:p>
            <w:pPr>
              <w:pBdr/>
              <w:spacing/>
              <w:ind/>
              <w:jc w:val="center"/>
              <w:rPr/>
            </w:pPr>
            <w:r>
              <w:t xml:space="preserve">16</w:t>
            </w:r>
            <w:r/>
          </w:p>
        </w:tc>
        <w:tc>
          <w:tcPr>
            <w:tcBorders/>
            <w:tcMar>
              <w:left w:w="100" w:type="dxa"/>
              <w:top w:w="60" w:type="dxa"/>
              <w:right w:w="100" w:type="dxa"/>
              <w:bottom w:w="60" w:type="dxa"/>
            </w:tcMar>
            <w:tcW w:w="1500" w:type="dxa"/>
          </w:tcPr>
          <w:p>
            <w:pPr>
              <w:pBdr/>
              <w:spacing/>
              <w:ind/>
              <w:rPr/>
            </w:pPr>
            <w:r>
              <w:t xml:space="preserve"> </w:t>
            </w:r>
            <w:r/>
          </w:p>
        </w:tc>
        <w:tc>
          <w:tcPr>
            <w:tcBorders/>
            <w:tcMar>
              <w:left w:w="100" w:type="dxa"/>
              <w:top w:w="60" w:type="dxa"/>
              <w:right w:w="100" w:type="dxa"/>
              <w:bottom w:w="60" w:type="dxa"/>
            </w:tcMar>
            <w:tcW w:w="1900" w:type="dxa"/>
          </w:tcPr>
          <w:p>
            <w:pPr>
              <w:pBdr/>
              <w:spacing/>
              <w:ind/>
              <w:rPr/>
            </w:pPr>
            <w:r>
              <w:t xml:space="preserve"> </w:t>
            </w:r>
            <w:r/>
          </w:p>
        </w:tc>
        <w:tc>
          <w:tcPr>
            <w:tcBorders/>
            <w:tcMar>
              <w:left w:w="100" w:type="dxa"/>
              <w:top w:w="60" w:type="dxa"/>
              <w:right w:w="100" w:type="dxa"/>
              <w:bottom w:w="60" w:type="dxa"/>
            </w:tcMar>
            <w:tcW w:w="1300" w:type="dxa"/>
          </w:tcPr>
          <w:p>
            <w:pPr>
              <w:pBdr/>
              <w:spacing/>
              <w:ind/>
              <w:rPr/>
            </w:pPr>
            <w:r>
              <w:t xml:space="preserve"> </w:t>
            </w:r>
            <w:r/>
          </w:p>
        </w:tc>
        <w:tc>
          <w:tcPr>
            <w:tcBorders/>
            <w:tcMar>
              <w:left w:w="100" w:type="dxa"/>
              <w:top w:w="60" w:type="dxa"/>
              <w:right w:w="100" w:type="dxa"/>
              <w:bottom w:w="60" w:type="dxa"/>
            </w:tcMar>
            <w:tcW w:w="1626"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c>
          <w:tcPr>
            <w:tcBorders/>
            <w:tcMar>
              <w:left w:w="100" w:type="dxa"/>
              <w:top w:w="60" w:type="dxa"/>
              <w:right w:w="100" w:type="dxa"/>
              <w:bottom w:w="60" w:type="dxa"/>
            </w:tcMar>
            <w:tcW w:w="1000" w:type="dxa"/>
          </w:tcPr>
          <w:p>
            <w:pPr>
              <w:pBdr/>
              <w:spacing/>
              <w:ind/>
              <w:rPr/>
            </w:pPr>
            <w:r>
              <w:t xml:space="preserve"> </w:t>
            </w:r>
            <w:r/>
          </w:p>
        </w:tc>
      </w:tr>
    </w:tbl>
    <w:p>
      <w:pPr>
        <w:pBdr/>
        <w:spacing/>
        <w:ind/>
        <w:rPr>
          <w:sz w:val="14"/>
          <w:szCs w:val="14"/>
        </w:rPr>
      </w:pPr>
      <w:r>
        <w:rPr>
          <w:i/>
          <w:iCs/>
          <w:sz w:val="14"/>
          <w:szCs w:val="14"/>
        </w:rPr>
        <w:t xml:space="preserve">Napomena: zbroj stupca "Iskorišteno sati" ne smije prijeći ukupan broj sati dodijeljenih na vaučeru (40, 80 ili 160, ovisno o kategoriji). Nakon svakog upisa Davatelj i korisnik potpisom potvrđuju točnost unosa. Konačan zbroj iskorištenih sati, pomnožen s </w:t>
      </w:r>
      <w:r>
        <w:rPr>
          <w:i/>
          <w:iCs/>
          <w:sz w:val="14"/>
          <w:szCs w:val="14"/>
        </w:rPr>
        <w:t xml:space="preserve">vrijednošću de </w:t>
      </w:r>
      <w:r>
        <w:rPr>
          <w:i/>
          <w:iCs/>
          <w:sz w:val="14"/>
          <w:szCs w:val="14"/>
        </w:rPr>
        <w:t xml:space="preserve">minimis</w:t>
      </w:r>
      <w:r>
        <w:rPr>
          <w:i/>
          <w:iCs/>
          <w:sz w:val="14"/>
          <w:szCs w:val="14"/>
        </w:rPr>
        <w:t xml:space="preserve"> potpore od 28,00 EUR po satu (članak 7. stavak 2. Programa), predstavlja konačnu vrijednost dodijeljene potpore koja se unosi u Registar državnih potpora i potpora male vrijednosti. Polog od 7,00 EUR po satu koji je korisnik već plat</w:t>
      </w:r>
      <w:r>
        <w:rPr>
          <w:i/>
          <w:iCs/>
          <w:sz w:val="14"/>
          <w:szCs w:val="14"/>
        </w:rPr>
        <w:t xml:space="preserve">io unaprijed ne predstavlja de </w:t>
      </w:r>
      <w:r>
        <w:rPr>
          <w:i/>
          <w:iCs/>
          <w:sz w:val="14"/>
          <w:szCs w:val="14"/>
        </w:rPr>
        <w:t xml:space="preserve">minimis</w:t>
      </w:r>
      <w:r>
        <w:rPr>
          <w:i/>
          <w:iCs/>
          <w:sz w:val="14"/>
          <w:szCs w:val="14"/>
        </w:rPr>
        <w:t xml:space="preserve"> potporu i ne uračunava se u ovaj iznos.</w:t>
      </w:r>
      <w:r>
        <w:rPr>
          <w:sz w:val="14"/>
          <w:szCs w:val="14"/>
        </w:rPr>
      </w:r>
    </w:p>
    <w:sectPr>
      <w:footerReference w:type="default" r:id="rId9"/>
      <w:footnotePr/>
      <w:endnotePr/>
      <w:type w:val="nextPage"/>
      <w:pgSz w:h="16838" w:orient="portrait" w:w="11906"/>
      <w:pgMar w:top="1440" w:right="1440" w:bottom="1440" w:left="1440" w:header="708" w:footer="708"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rPr>
        <w:color w:val="888888"/>
        <w:sz w:val="16"/>
        <w:szCs w:val="16"/>
      </w:rPr>
      <w:t xml:space="preserve">Stranica </w:t>
    </w:r>
    <w:r>
      <w:rPr>
        <w:color w:val="888888"/>
        <w:sz w:val="16"/>
        <w:szCs w:val="16"/>
      </w:rPr>
      <w:fldChar w:fldCharType="begin"/>
    </w:r>
    <w:r>
      <w:rPr>
        <w:color w:val="888888"/>
        <w:sz w:val="16"/>
        <w:szCs w:val="16"/>
      </w:rPr>
      <w:instrText xml:space="preserve">PAGE</w:instrText>
    </w:r>
    <w:r>
      <w:rPr>
        <w:color w:val="888888"/>
        <w:sz w:val="16"/>
        <w:szCs w:val="16"/>
      </w:rPr>
      <w:fldChar w:fldCharType="separate"/>
    </w:r>
    <w:r>
      <w:rPr>
        <w:color w:val="888888"/>
        <w:sz w:val="16"/>
        <w:szCs w:val="16"/>
      </w:rPr>
      <w:t xml:space="preserve">4</w:t>
    </w:r>
    <w:r>
      <w:rPr>
        <w:color w:val="888888"/>
        <w:sz w:val="16"/>
        <w:szCs w:val="16"/>
      </w:rPr>
      <w:fldChar w:fldCharType="end"/>
    </w:r>
    <w:r>
      <w:rPr>
        <w:color w:val="888888"/>
        <w:sz w:val="16"/>
        <w:szCs w:val="16"/>
      </w:rPr>
      <w:t xml:space="preserve"> od </w:t>
    </w:r>
    <w:r>
      <w:rPr>
        <w:color w:val="888888"/>
        <w:sz w:val="16"/>
        <w:szCs w:val="16"/>
      </w:rPr>
      <w:fldChar w:fldCharType="begin"/>
    </w:r>
    <w:r>
      <w:rPr>
        <w:color w:val="888888"/>
        <w:sz w:val="16"/>
        <w:szCs w:val="16"/>
      </w:rPr>
      <w:instrText xml:space="preserve">NUMPAGES</w:instrText>
    </w:r>
    <w:r>
      <w:rPr>
        <w:color w:val="888888"/>
        <w:sz w:val="16"/>
        <w:szCs w:val="16"/>
      </w:rPr>
      <w:fldChar w:fldCharType="separate"/>
    </w:r>
    <w:r>
      <w:rPr>
        <w:color w:val="888888"/>
        <w:sz w:val="16"/>
        <w:szCs w:val="16"/>
      </w:rPr>
      <w:t xml:space="preserve">11</w:t>
    </w:r>
    <w:r>
      <w:rPr>
        <w:color w:val="888888"/>
        <w:sz w:val="16"/>
        <w:szCs w:val="16"/>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8C5204"/>
    <w:lvl w:ilvl="0">
      <w:isLgl w:val="false"/>
      <w:lvlJc w:val="left"/>
      <w:lvlText w:val="●"/>
      <w:numFmt w:val="bullet"/>
      <w:pPr>
        <w:pBdr/>
        <w:spacing/>
        <w:ind w:hanging="360" w:left="720"/>
      </w:pPr>
      <w:rPr/>
      <w:start w:val="1"/>
      <w:suff w:val="tab"/>
    </w:lvl>
    <w:lvl w:ilvl="1">
      <w:isLgl w:val="false"/>
      <w:lvlJc w:val="left"/>
      <w:lvlText w:val="○"/>
      <w:numFmt w:val="bullet"/>
      <w:pPr>
        <w:pBdr/>
        <w:spacing/>
        <w:ind w:hanging="360" w:left="1440"/>
      </w:pPr>
      <w:rPr/>
      <w:start w:val="1"/>
      <w:suff w:val="tab"/>
    </w:lvl>
    <w:lvl w:ilvl="2">
      <w:isLgl w:val="false"/>
      <w:lvlJc w:val="left"/>
      <w:lvlText w:val="■"/>
      <w:numFmt w:val="bullet"/>
      <w:pPr>
        <w:pBdr/>
        <w:spacing/>
        <w:ind w:hanging="360" w:left="2160"/>
      </w:pPr>
      <w:rPr/>
      <w:start w:val="1"/>
      <w:suff w:val="tab"/>
    </w:lvl>
    <w:lvl w:ilvl="3">
      <w:isLgl w:val="false"/>
      <w:lvlJc w:val="left"/>
      <w:lvlText w:val="●"/>
      <w:numFmt w:val="bullet"/>
      <w:pPr>
        <w:pBdr/>
        <w:spacing/>
        <w:ind w:hanging="360" w:left="2880"/>
      </w:pPr>
      <w:rPr/>
      <w:start w:val="1"/>
      <w:suff w:val="tab"/>
    </w:lvl>
    <w:lvl w:ilvl="4">
      <w:isLgl w:val="false"/>
      <w:lvlJc w:val="left"/>
      <w:lvlText w:val="○"/>
      <w:numFmt w:val="bullet"/>
      <w:pPr>
        <w:pBdr/>
        <w:spacing/>
        <w:ind w:hanging="360" w:left="3600"/>
      </w:pPr>
      <w:rPr/>
      <w:start w:val="1"/>
      <w:suff w:val="tab"/>
    </w:lvl>
    <w:lvl w:ilvl="5">
      <w:isLgl w:val="false"/>
      <w:lvlJc w:val="left"/>
      <w:lvlText w:val="■"/>
      <w:numFmt w:val="bullet"/>
      <w:pPr>
        <w:pBdr/>
        <w:spacing/>
        <w:ind w:hanging="360" w:left="4320"/>
      </w:pPr>
      <w:rPr/>
      <w:start w:val="1"/>
      <w:suff w:val="tab"/>
    </w:lvl>
    <w:lvl w:ilvl="6">
      <w:isLgl w:val="false"/>
      <w:lvlJc w:val="left"/>
      <w:lvlText w:val="●"/>
      <w:numFmt w:val="bullet"/>
      <w:pPr>
        <w:pBdr/>
        <w:spacing/>
        <w:ind w:hanging="360" w:left="5040"/>
      </w:pPr>
      <w:rPr/>
      <w:start w:val="1"/>
      <w:suff w:val="tab"/>
    </w:lvl>
    <w:lvl w:ilvl="7">
      <w:isLgl w:val="false"/>
      <w:lvlJc w:val="left"/>
      <w:lvlText w:val="●"/>
      <w:numFmt w:val="bullet"/>
      <w:pPr>
        <w:pBdr/>
        <w:spacing/>
        <w:ind w:hanging="360" w:left="5760"/>
      </w:pPr>
      <w:rPr/>
      <w:start w:val="1"/>
      <w:suff w:val="tab"/>
    </w:lvl>
    <w:lvl w:ilvl="8">
      <w:isLgl w:val="false"/>
      <w:lvlJc w:val="left"/>
      <w:lvlText w:val="●"/>
      <w:numFmt w:val="bullet"/>
      <w:pPr>
        <w:pBdr/>
        <w:spacing/>
        <w:ind w:hanging="360" w:left="6480"/>
      </w:pPr>
      <w:rPr/>
      <w:start w:val="1"/>
      <w:suff w:val="tab"/>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1"/>
        <w:szCs w:val="21"/>
        <w:lang w:val="hr-HR" w:eastAsia="hr-H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4">
    <w:name w:val="Table Grid"/>
    <w:basedOn w:val="905"/>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Table Grid Light"/>
    <w:basedOn w:val="90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1"/>
    <w:basedOn w:val="90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2"/>
    <w:basedOn w:val="90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3"/>
    <w:basedOn w:val="90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4"/>
    <w:basedOn w:val="90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5"/>
    <w:basedOn w:val="90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w:basedOn w:val="90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1"/>
    <w:basedOn w:val="90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2"/>
    <w:basedOn w:val="90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3"/>
    <w:basedOn w:val="90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4"/>
    <w:basedOn w:val="90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5"/>
    <w:basedOn w:val="90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6"/>
    <w:basedOn w:val="90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w:basedOn w:val="90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1"/>
    <w:basedOn w:val="9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2"/>
    <w:basedOn w:val="9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3"/>
    <w:basedOn w:val="9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4"/>
    <w:basedOn w:val="9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5"/>
    <w:basedOn w:val="9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6"/>
    <w:basedOn w:val="9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w:basedOn w:val="90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1"/>
    <w:basedOn w:val="9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2"/>
    <w:basedOn w:val="9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3"/>
    <w:basedOn w:val="9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4"/>
    <w:basedOn w:val="9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5"/>
    <w:basedOn w:val="9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6"/>
    <w:basedOn w:val="9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w:basedOn w:val="90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1"/>
    <w:basedOn w:val="90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2"/>
    <w:basedOn w:val="90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3"/>
    <w:basedOn w:val="90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4"/>
    <w:basedOn w:val="90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5"/>
    <w:basedOn w:val="90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6"/>
    <w:basedOn w:val="90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1"/>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2"/>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3"/>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4"/>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5"/>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6"/>
    <w:basedOn w:val="9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w:basedOn w:val="90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7">
    <w:name w:val="Grid Table 6 Colorful - Accent 1"/>
    <w:basedOn w:val="90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8">
    <w:name w:val="Grid Table 6 Colorful - Accent 2"/>
    <w:basedOn w:val="9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9">
    <w:name w:val="Grid Table 6 Colorful - Accent 3"/>
    <w:basedOn w:val="90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0">
    <w:name w:val="Grid Table 6 Colorful - Accent 4"/>
    <w:basedOn w:val="9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1">
    <w:name w:val="Grid Table 6 Colorful - Accent 5"/>
    <w:basedOn w:val="90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6 Colorful - Accent 6"/>
    <w:basedOn w:val="90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3">
    <w:name w:val="Grid Table 7 Colorful"/>
    <w:basedOn w:val="90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1"/>
    <w:basedOn w:val="90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2"/>
    <w:basedOn w:val="90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3"/>
    <w:basedOn w:val="90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4"/>
    <w:basedOn w:val="90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5"/>
    <w:basedOn w:val="90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6"/>
    <w:basedOn w:val="90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1"/>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2"/>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3"/>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4"/>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5"/>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6"/>
    <w:basedOn w:val="9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w:basedOn w:val="90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1"/>
    <w:basedOn w:val="90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2"/>
    <w:basedOn w:val="90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3"/>
    <w:basedOn w:val="90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4"/>
    <w:basedOn w:val="90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5"/>
    <w:basedOn w:val="90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6"/>
    <w:basedOn w:val="90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w:basedOn w:val="90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1"/>
    <w:basedOn w:val="90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2"/>
    <w:basedOn w:val="9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3"/>
    <w:basedOn w:val="90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4"/>
    <w:basedOn w:val="9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5"/>
    <w:basedOn w:val="90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6"/>
    <w:basedOn w:val="90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w:basedOn w:val="90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1"/>
    <w:basedOn w:val="90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2"/>
    <w:basedOn w:val="90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3"/>
    <w:basedOn w:val="90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4"/>
    <w:basedOn w:val="90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5"/>
    <w:basedOn w:val="90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6"/>
    <w:basedOn w:val="90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w:basedOn w:val="90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1"/>
    <w:basedOn w:val="90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2"/>
    <w:basedOn w:val="90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3"/>
    <w:basedOn w:val="90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4"/>
    <w:basedOn w:val="90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5"/>
    <w:basedOn w:val="90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6"/>
    <w:basedOn w:val="90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6 Colorful"/>
    <w:basedOn w:val="90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1"/>
    <w:basedOn w:val="90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2"/>
    <w:basedOn w:val="90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3"/>
    <w:basedOn w:val="90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4"/>
    <w:basedOn w:val="90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5"/>
    <w:basedOn w:val="90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aa1" w:themeColor="accent5" w:themeTint="9A" w:themeShade="95"/>
      </w:rPr>
      <w:pPr>
        <w:pBdr/>
        <w:spacing/>
        <w:ind/>
      </w:pPr>
      <w:tblPr>
        <w:tblBorders/>
      </w:tblPr>
      <w:tcPr>
        <w:tcBorders/>
      </w:tcPr>
    </w:tblStylePr>
    <w:tblStylePr w:type="firstRow">
      <w:rPr>
        <w:b/>
        <w:color w:val="335aa1" w:themeColor="accent5" w:themeTint="9A" w:themeShade="95"/>
      </w:rPr>
      <w:pPr>
        <w:pBdr/>
        <w:spacing/>
        <w:ind/>
      </w:pPr>
      <w:tblPr>
        <w:tblBorders/>
      </w:tblPr>
      <w:tcPr>
        <w:tcBorders>
          <w:bottom w:val="single" w:color="000000" w:themeColor="accent5" w:themeTint="9A" w:sz="4" w:space="0"/>
        </w:tcBorders>
      </w:tcPr>
    </w:tblStylePr>
    <w:tblStylePr w:type="lastCol">
      <w:rPr>
        <w:b/>
        <w:color w:val="335aa1" w:themeColor="accent5" w:themeTint="9A" w:themeShade="95"/>
      </w:rPr>
      <w:pPr>
        <w:pBdr/>
        <w:spacing/>
        <w:ind/>
      </w:pPr>
      <w:tblPr>
        <w:tblBorders/>
      </w:tblPr>
      <w:tcPr>
        <w:tcBorders/>
      </w:tcPr>
    </w:tblStylePr>
    <w:tblStylePr w:type="lastRow">
      <w:rPr>
        <w:b/>
        <w:color w:val="335aa1"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6"/>
    <w:basedOn w:val="90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w:basedOn w:val="90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3">
    <w:name w:val="List Table 7 Colorful - Accent 1"/>
    <w:basedOn w:val="90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824">
    <w:name w:val="List Table 7 Colorful - Accent 2"/>
    <w:basedOn w:val="90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25">
    <w:name w:val="List Table 7 Colorful - Accent 3"/>
    <w:basedOn w:val="90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26">
    <w:name w:val="List Table 7 Colorful - Accent 4"/>
    <w:basedOn w:val="90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27">
    <w:name w:val="List Table 7 Colorful - Accent 5"/>
    <w:basedOn w:val="90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aa1"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aa1"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aa1"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aa1"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aa1"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aa1" w:themeColor="accent5" w:themeTint="9A" w:themeShade="95"/>
        <w:sz w:val="22"/>
      </w:rPr>
      <w:pPr>
        <w:pBdr/>
        <w:spacing/>
        <w:ind/>
      </w:pPr>
      <w:tblPr>
        <w:tblBorders/>
      </w:tblPr>
      <w:tcPr>
        <w:tcBorders/>
      </w:tcPr>
    </w:tblStylePr>
  </w:style>
  <w:style w:type="table" w:styleId="828">
    <w:name w:val="List Table 7 Colorful - Accent 6"/>
    <w:basedOn w:val="90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29">
    <w:name w:val="Lined - Accent"/>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1"/>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2"/>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3"/>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4"/>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5"/>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6"/>
    <w:basedOn w:val="90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w:basedOn w:val="90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1"/>
    <w:basedOn w:val="90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2"/>
    <w:basedOn w:val="90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3"/>
    <w:basedOn w:val="90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4"/>
    <w:basedOn w:val="90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5"/>
    <w:basedOn w:val="90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6"/>
    <w:basedOn w:val="90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w:basedOn w:val="90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1"/>
    <w:basedOn w:val="90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2"/>
    <w:basedOn w:val="90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3"/>
    <w:basedOn w:val="90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4"/>
    <w:basedOn w:val="90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5"/>
    <w:basedOn w:val="90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6"/>
    <w:basedOn w:val="90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0">
    <w:name w:val="Heading 7"/>
    <w:basedOn w:val="897"/>
    <w:next w:val="897"/>
    <w:link w:val="859"/>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1">
    <w:name w:val="Heading 8"/>
    <w:basedOn w:val="897"/>
    <w:next w:val="897"/>
    <w:link w:val="860"/>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2">
    <w:name w:val="Heading 9"/>
    <w:basedOn w:val="897"/>
    <w:next w:val="897"/>
    <w:link w:val="861"/>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3">
    <w:name w:val="Heading 1 Char"/>
    <w:basedOn w:val="904"/>
    <w:link w:val="898"/>
    <w:uiPriority w:val="9"/>
    <w:pPr>
      <w:pBdr/>
      <w:spacing/>
      <w:ind/>
    </w:pPr>
    <w:rPr>
      <w:rFonts w:ascii="Arial" w:hAnsi="Arial" w:eastAsia="Arial" w:cs="Arial"/>
      <w:color w:val="0f4761" w:themeColor="accent1" w:themeShade="BF"/>
      <w:sz w:val="40"/>
      <w:szCs w:val="40"/>
    </w:rPr>
  </w:style>
  <w:style w:type="character" w:styleId="854">
    <w:name w:val="Heading 2 Char"/>
    <w:basedOn w:val="904"/>
    <w:link w:val="899"/>
    <w:uiPriority w:val="9"/>
    <w:pPr>
      <w:pBdr/>
      <w:spacing/>
      <w:ind/>
    </w:pPr>
    <w:rPr>
      <w:rFonts w:ascii="Arial" w:hAnsi="Arial" w:eastAsia="Arial" w:cs="Arial"/>
      <w:color w:val="0f4761" w:themeColor="accent1" w:themeShade="BF"/>
      <w:sz w:val="32"/>
      <w:szCs w:val="32"/>
    </w:rPr>
  </w:style>
  <w:style w:type="character" w:styleId="855">
    <w:name w:val="Heading 3 Char"/>
    <w:basedOn w:val="904"/>
    <w:link w:val="900"/>
    <w:uiPriority w:val="9"/>
    <w:pPr>
      <w:pBdr/>
      <w:spacing/>
      <w:ind/>
    </w:pPr>
    <w:rPr>
      <w:rFonts w:ascii="Arial" w:hAnsi="Arial" w:eastAsia="Arial" w:cs="Arial"/>
      <w:color w:val="0f4761" w:themeColor="accent1" w:themeShade="BF"/>
      <w:sz w:val="28"/>
      <w:szCs w:val="28"/>
    </w:rPr>
  </w:style>
  <w:style w:type="character" w:styleId="856">
    <w:name w:val="Heading 4 Char"/>
    <w:basedOn w:val="904"/>
    <w:link w:val="901"/>
    <w:uiPriority w:val="9"/>
    <w:pPr>
      <w:pBdr/>
      <w:spacing/>
      <w:ind/>
    </w:pPr>
    <w:rPr>
      <w:rFonts w:ascii="Arial" w:hAnsi="Arial" w:eastAsia="Arial" w:cs="Arial"/>
      <w:i/>
      <w:iCs/>
      <w:color w:val="0f4761" w:themeColor="accent1" w:themeShade="BF"/>
    </w:rPr>
  </w:style>
  <w:style w:type="character" w:styleId="857">
    <w:name w:val="Heading 5 Char"/>
    <w:basedOn w:val="904"/>
    <w:link w:val="902"/>
    <w:uiPriority w:val="9"/>
    <w:pPr>
      <w:pBdr/>
      <w:spacing/>
      <w:ind/>
    </w:pPr>
    <w:rPr>
      <w:rFonts w:ascii="Arial" w:hAnsi="Arial" w:eastAsia="Arial" w:cs="Arial"/>
      <w:color w:val="0f4761" w:themeColor="accent1" w:themeShade="BF"/>
    </w:rPr>
  </w:style>
  <w:style w:type="character" w:styleId="858">
    <w:name w:val="Heading 6 Char"/>
    <w:basedOn w:val="904"/>
    <w:link w:val="903"/>
    <w:uiPriority w:val="9"/>
    <w:pPr>
      <w:pBdr/>
      <w:spacing/>
      <w:ind/>
    </w:pPr>
    <w:rPr>
      <w:rFonts w:ascii="Arial" w:hAnsi="Arial" w:eastAsia="Arial" w:cs="Arial"/>
      <w:i/>
      <w:iCs/>
      <w:color w:val="595959" w:themeColor="text1" w:themeTint="A6"/>
    </w:rPr>
  </w:style>
  <w:style w:type="character" w:styleId="859">
    <w:name w:val="Heading 7 Char"/>
    <w:basedOn w:val="904"/>
    <w:link w:val="850"/>
    <w:uiPriority w:val="9"/>
    <w:pPr>
      <w:pBdr/>
      <w:spacing/>
      <w:ind/>
    </w:pPr>
    <w:rPr>
      <w:rFonts w:ascii="Arial" w:hAnsi="Arial" w:eastAsia="Arial" w:cs="Arial"/>
      <w:color w:val="595959" w:themeColor="text1" w:themeTint="A6"/>
    </w:rPr>
  </w:style>
  <w:style w:type="character" w:styleId="860">
    <w:name w:val="Heading 8 Char"/>
    <w:basedOn w:val="904"/>
    <w:link w:val="851"/>
    <w:uiPriority w:val="9"/>
    <w:pPr>
      <w:pBdr/>
      <w:spacing/>
      <w:ind/>
    </w:pPr>
    <w:rPr>
      <w:rFonts w:ascii="Arial" w:hAnsi="Arial" w:eastAsia="Arial" w:cs="Arial"/>
      <w:i/>
      <w:iCs/>
      <w:color w:val="272727" w:themeColor="text1" w:themeTint="D8"/>
    </w:rPr>
  </w:style>
  <w:style w:type="character" w:styleId="861">
    <w:name w:val="Heading 9 Char"/>
    <w:basedOn w:val="904"/>
    <w:link w:val="852"/>
    <w:uiPriority w:val="9"/>
    <w:pPr>
      <w:pBdr/>
      <w:spacing/>
      <w:ind/>
    </w:pPr>
    <w:rPr>
      <w:rFonts w:ascii="Arial" w:hAnsi="Arial" w:eastAsia="Arial" w:cs="Arial"/>
      <w:i/>
      <w:iCs/>
      <w:color w:val="272727" w:themeColor="text1" w:themeTint="D8"/>
    </w:rPr>
  </w:style>
  <w:style w:type="character" w:styleId="862">
    <w:name w:val="Title Char"/>
    <w:basedOn w:val="904"/>
    <w:link w:val="907"/>
    <w:uiPriority w:val="10"/>
    <w:pPr>
      <w:pBdr/>
      <w:spacing/>
      <w:ind/>
    </w:pPr>
    <w:rPr>
      <w:rFonts w:ascii="Arial" w:hAnsi="Arial" w:eastAsia="Arial" w:cs="Arial"/>
      <w:spacing w:val="-10"/>
      <w:sz w:val="56"/>
      <w:szCs w:val="56"/>
    </w:rPr>
  </w:style>
  <w:style w:type="paragraph" w:styleId="863">
    <w:name w:val="Subtitle"/>
    <w:basedOn w:val="897"/>
    <w:next w:val="897"/>
    <w:link w:val="864"/>
    <w:uiPriority w:val="11"/>
    <w:qFormat/>
    <w:pPr>
      <w:numPr>
        <w:ilvl w:val="1"/>
      </w:numPr>
      <w:pBdr/>
      <w:spacing/>
      <w:ind/>
    </w:pPr>
    <w:rPr>
      <w:color w:val="595959" w:themeColor="text1" w:themeTint="A6"/>
      <w:spacing w:val="15"/>
      <w:sz w:val="28"/>
      <w:szCs w:val="28"/>
    </w:rPr>
  </w:style>
  <w:style w:type="character" w:styleId="864">
    <w:name w:val="Subtitle Char"/>
    <w:basedOn w:val="904"/>
    <w:link w:val="863"/>
    <w:uiPriority w:val="11"/>
    <w:pPr>
      <w:pBdr/>
      <w:spacing/>
      <w:ind/>
    </w:pPr>
    <w:rPr>
      <w:color w:val="595959" w:themeColor="text1" w:themeTint="A6"/>
      <w:spacing w:val="15"/>
      <w:sz w:val="28"/>
      <w:szCs w:val="28"/>
    </w:rPr>
  </w:style>
  <w:style w:type="paragraph" w:styleId="865">
    <w:name w:val="Quote"/>
    <w:basedOn w:val="897"/>
    <w:next w:val="897"/>
    <w:link w:val="866"/>
    <w:uiPriority w:val="29"/>
    <w:qFormat/>
    <w:pPr>
      <w:pBdr/>
      <w:spacing w:before="160"/>
      <w:ind/>
      <w:jc w:val="center"/>
    </w:pPr>
    <w:rPr>
      <w:i/>
      <w:iCs/>
      <w:color w:val="404040" w:themeColor="text1" w:themeTint="BF"/>
    </w:rPr>
  </w:style>
  <w:style w:type="character" w:styleId="866">
    <w:name w:val="Quote Char"/>
    <w:basedOn w:val="904"/>
    <w:link w:val="865"/>
    <w:uiPriority w:val="29"/>
    <w:pPr>
      <w:pBdr/>
      <w:spacing/>
      <w:ind/>
    </w:pPr>
    <w:rPr>
      <w:i/>
      <w:iCs/>
      <w:color w:val="404040" w:themeColor="text1" w:themeTint="BF"/>
    </w:rPr>
  </w:style>
  <w:style w:type="character" w:styleId="867">
    <w:name w:val="Intense Emphasis"/>
    <w:basedOn w:val="904"/>
    <w:uiPriority w:val="21"/>
    <w:qFormat/>
    <w:pPr>
      <w:pBdr/>
      <w:spacing/>
      <w:ind/>
    </w:pPr>
    <w:rPr>
      <w:i/>
      <w:iCs/>
      <w:color w:val="0f4761" w:themeColor="accent1" w:themeShade="BF"/>
    </w:rPr>
  </w:style>
  <w:style w:type="paragraph" w:styleId="868">
    <w:name w:val="Intense Quote"/>
    <w:basedOn w:val="897"/>
    <w:next w:val="897"/>
    <w:link w:val="869"/>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9">
    <w:name w:val="Intense Quote Char"/>
    <w:basedOn w:val="904"/>
    <w:link w:val="868"/>
    <w:uiPriority w:val="30"/>
    <w:pPr>
      <w:pBdr/>
      <w:spacing/>
      <w:ind/>
    </w:pPr>
    <w:rPr>
      <w:i/>
      <w:iCs/>
      <w:color w:val="0f4761" w:themeColor="accent1" w:themeShade="BF"/>
    </w:rPr>
  </w:style>
  <w:style w:type="character" w:styleId="870">
    <w:name w:val="Intense Reference"/>
    <w:basedOn w:val="904"/>
    <w:uiPriority w:val="32"/>
    <w:qFormat/>
    <w:pPr>
      <w:pBdr/>
      <w:spacing/>
      <w:ind/>
    </w:pPr>
    <w:rPr>
      <w:b/>
      <w:bCs/>
      <w:smallCaps/>
      <w:color w:val="0f4761" w:themeColor="accent1" w:themeShade="BF"/>
      <w:spacing w:val="5"/>
    </w:rPr>
  </w:style>
  <w:style w:type="paragraph" w:styleId="871">
    <w:name w:val="No Spacing"/>
    <w:basedOn w:val="897"/>
    <w:uiPriority w:val="1"/>
    <w:qFormat/>
    <w:pPr>
      <w:pBdr/>
      <w:spacing w:after="0" w:line="240" w:lineRule="auto"/>
      <w:ind/>
    </w:pPr>
  </w:style>
  <w:style w:type="character" w:styleId="872">
    <w:name w:val="Subtle Emphasis"/>
    <w:basedOn w:val="904"/>
    <w:uiPriority w:val="19"/>
    <w:qFormat/>
    <w:pPr>
      <w:pBdr/>
      <w:spacing/>
      <w:ind/>
    </w:pPr>
    <w:rPr>
      <w:i/>
      <w:iCs/>
      <w:color w:val="404040" w:themeColor="text1" w:themeTint="BF"/>
    </w:rPr>
  </w:style>
  <w:style w:type="character" w:styleId="873">
    <w:name w:val="Emphasis"/>
    <w:basedOn w:val="904"/>
    <w:uiPriority w:val="20"/>
    <w:qFormat/>
    <w:pPr>
      <w:pBdr/>
      <w:spacing/>
      <w:ind/>
    </w:pPr>
    <w:rPr>
      <w:i/>
      <w:iCs/>
    </w:rPr>
  </w:style>
  <w:style w:type="character" w:styleId="874">
    <w:name w:val="Strong"/>
    <w:basedOn w:val="904"/>
    <w:uiPriority w:val="22"/>
    <w:qFormat/>
    <w:pPr>
      <w:pBdr/>
      <w:spacing/>
      <w:ind/>
    </w:pPr>
    <w:rPr>
      <w:b/>
      <w:bCs/>
    </w:rPr>
  </w:style>
  <w:style w:type="character" w:styleId="875">
    <w:name w:val="Subtle Reference"/>
    <w:basedOn w:val="904"/>
    <w:uiPriority w:val="31"/>
    <w:qFormat/>
    <w:pPr>
      <w:pBdr/>
      <w:spacing/>
      <w:ind/>
    </w:pPr>
    <w:rPr>
      <w:smallCaps/>
      <w:color w:val="5a5a5a" w:themeColor="text1" w:themeTint="A5"/>
    </w:rPr>
  </w:style>
  <w:style w:type="character" w:styleId="876">
    <w:name w:val="Book Title"/>
    <w:basedOn w:val="904"/>
    <w:uiPriority w:val="33"/>
    <w:qFormat/>
    <w:pPr>
      <w:pBdr/>
      <w:spacing/>
      <w:ind/>
    </w:pPr>
    <w:rPr>
      <w:b/>
      <w:bCs/>
      <w:i/>
      <w:iCs/>
      <w:spacing w:val="5"/>
    </w:rPr>
  </w:style>
  <w:style w:type="paragraph" w:styleId="877">
    <w:name w:val="Header"/>
    <w:basedOn w:val="897"/>
    <w:link w:val="878"/>
    <w:uiPriority w:val="99"/>
    <w:unhideWhenUsed/>
    <w:pPr>
      <w:pBdr/>
      <w:tabs>
        <w:tab w:val="center" w:leader="none" w:pos="4844"/>
        <w:tab w:val="right" w:leader="none" w:pos="9689"/>
      </w:tabs>
      <w:spacing w:after="0" w:line="240" w:lineRule="auto"/>
      <w:ind/>
    </w:pPr>
  </w:style>
  <w:style w:type="character" w:styleId="878">
    <w:name w:val="Header Char"/>
    <w:basedOn w:val="904"/>
    <w:link w:val="877"/>
    <w:uiPriority w:val="99"/>
    <w:pPr>
      <w:pBdr/>
      <w:spacing/>
      <w:ind/>
    </w:pPr>
  </w:style>
  <w:style w:type="paragraph" w:styleId="879">
    <w:name w:val="Footer"/>
    <w:basedOn w:val="897"/>
    <w:link w:val="880"/>
    <w:uiPriority w:val="99"/>
    <w:unhideWhenUsed/>
    <w:pPr>
      <w:pBdr/>
      <w:tabs>
        <w:tab w:val="center" w:leader="none" w:pos="4844"/>
        <w:tab w:val="right" w:leader="none" w:pos="9689"/>
      </w:tabs>
      <w:spacing w:after="0" w:line="240" w:lineRule="auto"/>
      <w:ind/>
    </w:pPr>
  </w:style>
  <w:style w:type="character" w:styleId="880">
    <w:name w:val="Footer Char"/>
    <w:basedOn w:val="904"/>
    <w:link w:val="879"/>
    <w:uiPriority w:val="99"/>
    <w:pPr>
      <w:pBdr/>
      <w:spacing/>
      <w:ind/>
    </w:pPr>
  </w:style>
  <w:style w:type="paragraph" w:styleId="881">
    <w:name w:val="Caption"/>
    <w:basedOn w:val="897"/>
    <w:next w:val="897"/>
    <w:uiPriority w:val="35"/>
    <w:unhideWhenUsed/>
    <w:qFormat/>
    <w:pPr>
      <w:pBdr/>
      <w:spacing w:after="200" w:line="240" w:lineRule="auto"/>
      <w:ind/>
    </w:pPr>
    <w:rPr>
      <w:i/>
      <w:iCs/>
      <w:color w:val="0e2841" w:themeColor="text2"/>
      <w:sz w:val="18"/>
      <w:szCs w:val="18"/>
    </w:rPr>
  </w:style>
  <w:style w:type="character" w:styleId="882">
    <w:name w:val="Footnote Text Char"/>
    <w:basedOn w:val="904"/>
    <w:link w:val="912"/>
    <w:uiPriority w:val="99"/>
    <w:semiHidden/>
    <w:pPr>
      <w:pBdr/>
      <w:spacing/>
      <w:ind/>
    </w:pPr>
    <w:rPr>
      <w:sz w:val="20"/>
      <w:szCs w:val="20"/>
    </w:rPr>
  </w:style>
  <w:style w:type="character" w:styleId="883">
    <w:name w:val="Endnote Text Char"/>
    <w:basedOn w:val="904"/>
    <w:link w:val="915"/>
    <w:uiPriority w:val="99"/>
    <w:semiHidden/>
    <w:pPr>
      <w:pBdr/>
      <w:spacing/>
      <w:ind/>
    </w:pPr>
    <w:rPr>
      <w:sz w:val="20"/>
      <w:szCs w:val="20"/>
    </w:rPr>
  </w:style>
  <w:style w:type="character" w:styleId="884">
    <w:name w:val="FollowedHyperlink"/>
    <w:basedOn w:val="904"/>
    <w:uiPriority w:val="99"/>
    <w:semiHidden/>
    <w:unhideWhenUsed/>
    <w:pPr>
      <w:pBdr/>
      <w:spacing/>
      <w:ind/>
    </w:pPr>
    <w:rPr>
      <w:color w:val="954f72" w:themeColor="followedHyperlink"/>
      <w:u w:val="single"/>
    </w:rPr>
  </w:style>
  <w:style w:type="paragraph" w:styleId="885">
    <w:name w:val="toc 1"/>
    <w:basedOn w:val="897"/>
    <w:next w:val="897"/>
    <w:uiPriority w:val="39"/>
    <w:unhideWhenUsed/>
    <w:pPr>
      <w:pBdr/>
      <w:spacing w:after="100"/>
      <w:ind/>
    </w:pPr>
  </w:style>
  <w:style w:type="paragraph" w:styleId="886">
    <w:name w:val="toc 2"/>
    <w:basedOn w:val="897"/>
    <w:next w:val="897"/>
    <w:uiPriority w:val="39"/>
    <w:unhideWhenUsed/>
    <w:pPr>
      <w:pBdr/>
      <w:spacing w:after="100"/>
      <w:ind w:left="220"/>
    </w:pPr>
  </w:style>
  <w:style w:type="paragraph" w:styleId="887">
    <w:name w:val="toc 3"/>
    <w:basedOn w:val="897"/>
    <w:next w:val="897"/>
    <w:uiPriority w:val="39"/>
    <w:unhideWhenUsed/>
    <w:pPr>
      <w:pBdr/>
      <w:spacing w:after="100"/>
      <w:ind w:left="440"/>
    </w:pPr>
  </w:style>
  <w:style w:type="paragraph" w:styleId="888">
    <w:name w:val="toc 4"/>
    <w:basedOn w:val="897"/>
    <w:next w:val="897"/>
    <w:uiPriority w:val="39"/>
    <w:unhideWhenUsed/>
    <w:pPr>
      <w:pBdr/>
      <w:spacing w:after="100"/>
      <w:ind w:left="660"/>
    </w:pPr>
  </w:style>
  <w:style w:type="paragraph" w:styleId="889">
    <w:name w:val="toc 5"/>
    <w:basedOn w:val="897"/>
    <w:next w:val="897"/>
    <w:uiPriority w:val="39"/>
    <w:unhideWhenUsed/>
    <w:pPr>
      <w:pBdr/>
      <w:spacing w:after="100"/>
      <w:ind w:left="880"/>
    </w:pPr>
  </w:style>
  <w:style w:type="paragraph" w:styleId="890">
    <w:name w:val="toc 6"/>
    <w:basedOn w:val="897"/>
    <w:next w:val="897"/>
    <w:uiPriority w:val="39"/>
    <w:unhideWhenUsed/>
    <w:pPr>
      <w:pBdr/>
      <w:spacing w:after="100"/>
      <w:ind w:left="1100"/>
    </w:pPr>
  </w:style>
  <w:style w:type="paragraph" w:styleId="891">
    <w:name w:val="toc 7"/>
    <w:basedOn w:val="897"/>
    <w:next w:val="897"/>
    <w:uiPriority w:val="39"/>
    <w:unhideWhenUsed/>
    <w:pPr>
      <w:pBdr/>
      <w:spacing w:after="100"/>
      <w:ind w:left="1320"/>
    </w:pPr>
  </w:style>
  <w:style w:type="paragraph" w:styleId="892">
    <w:name w:val="toc 8"/>
    <w:basedOn w:val="897"/>
    <w:next w:val="897"/>
    <w:uiPriority w:val="39"/>
    <w:unhideWhenUsed/>
    <w:pPr>
      <w:pBdr/>
      <w:spacing w:after="100"/>
      <w:ind w:left="1540"/>
    </w:pPr>
  </w:style>
  <w:style w:type="paragraph" w:styleId="893">
    <w:name w:val="toc 9"/>
    <w:basedOn w:val="897"/>
    <w:next w:val="897"/>
    <w:uiPriority w:val="39"/>
    <w:unhideWhenUsed/>
    <w:pPr>
      <w:pBdr/>
      <w:spacing w:after="100"/>
      <w:ind w:left="1760"/>
    </w:pPr>
  </w:style>
  <w:style w:type="character" w:styleId="894">
    <w:name w:val="Placeholder Text"/>
    <w:basedOn w:val="904"/>
    <w:uiPriority w:val="99"/>
    <w:semiHidden/>
    <w:pPr>
      <w:pBdr/>
      <w:spacing/>
      <w:ind/>
    </w:pPr>
    <w:rPr>
      <w:color w:val="666666"/>
    </w:rPr>
  </w:style>
  <w:style w:type="paragraph" w:styleId="895">
    <w:name w:val="TOC Heading"/>
    <w:uiPriority w:val="39"/>
    <w:unhideWhenUsed/>
    <w:pPr>
      <w:pBdr/>
      <w:spacing/>
      <w:ind/>
    </w:pPr>
  </w:style>
  <w:style w:type="paragraph" w:styleId="896">
    <w:name w:val="table of figures"/>
    <w:basedOn w:val="897"/>
    <w:next w:val="897"/>
    <w:uiPriority w:val="99"/>
    <w:unhideWhenUsed/>
    <w:pPr>
      <w:pBdr/>
      <w:spacing w:after="0" w:afterAutospacing="0"/>
      <w:ind/>
    </w:pPr>
  </w:style>
  <w:style w:type="paragraph" w:styleId="897" w:default="1">
    <w:name w:val="Normal"/>
    <w:qFormat/>
    <w:pPr>
      <w:pBdr/>
      <w:spacing/>
      <w:ind/>
    </w:pPr>
  </w:style>
  <w:style w:type="paragraph" w:styleId="898">
    <w:name w:val="Heading 1"/>
    <w:qFormat/>
    <w:pPr>
      <w:pBdr/>
      <w:spacing/>
      <w:ind/>
      <w:outlineLvl w:val="0"/>
    </w:pPr>
    <w:rPr>
      <w:color w:val="2e74b5"/>
      <w:sz w:val="32"/>
      <w:szCs w:val="32"/>
    </w:rPr>
  </w:style>
  <w:style w:type="paragraph" w:styleId="899">
    <w:name w:val="Heading 2"/>
    <w:qFormat/>
    <w:pPr>
      <w:pBdr/>
      <w:spacing w:after="100" w:before="220"/>
      <w:ind/>
      <w:jc w:val="center"/>
      <w:outlineLvl w:val="1"/>
    </w:pPr>
    <w:rPr>
      <w:b/>
      <w:bCs/>
      <w:color w:val="2e74b5" w:themeColor="text1"/>
      <w:sz w:val="22"/>
      <w:szCs w:val="22"/>
    </w:rPr>
  </w:style>
  <w:style w:type="paragraph" w:styleId="900">
    <w:name w:val="Heading 3"/>
    <w:qFormat/>
    <w:pPr>
      <w:pBdr/>
      <w:spacing/>
      <w:ind/>
      <w:outlineLvl w:val="2"/>
    </w:pPr>
    <w:rPr>
      <w:color w:val="1f4d78"/>
      <w:sz w:val="24"/>
      <w:szCs w:val="24"/>
    </w:rPr>
  </w:style>
  <w:style w:type="paragraph" w:styleId="901">
    <w:name w:val="Heading 4"/>
    <w:qFormat/>
    <w:pPr>
      <w:pBdr/>
      <w:spacing/>
      <w:ind/>
      <w:outlineLvl w:val="3"/>
    </w:pPr>
    <w:rPr>
      <w:i/>
      <w:iCs/>
      <w:color w:val="2e74b5"/>
    </w:rPr>
  </w:style>
  <w:style w:type="paragraph" w:styleId="902">
    <w:name w:val="Heading 5"/>
    <w:qFormat/>
    <w:pPr>
      <w:pBdr/>
      <w:spacing/>
      <w:ind/>
      <w:outlineLvl w:val="4"/>
    </w:pPr>
    <w:rPr>
      <w:color w:val="2e74b5"/>
    </w:rPr>
  </w:style>
  <w:style w:type="paragraph" w:styleId="903">
    <w:name w:val="Heading 6"/>
    <w:qFormat/>
    <w:pPr>
      <w:pBdr/>
      <w:spacing/>
      <w:ind/>
      <w:outlineLvl w:val="5"/>
    </w:pPr>
    <w:rPr>
      <w:color w:val="1f4d78"/>
    </w:rPr>
  </w:style>
  <w:style w:type="character" w:styleId="904" w:default="1">
    <w:name w:val="Default Paragraph Font"/>
    <w:uiPriority w:val="1"/>
    <w:semiHidden/>
    <w:unhideWhenUsed/>
    <w:pPr>
      <w:pBdr/>
      <w:spacing/>
      <w:ind/>
    </w:pPr>
  </w:style>
  <w:style w:type="table" w:styleId="9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06" w:default="1">
    <w:name w:val="No List"/>
    <w:uiPriority w:val="99"/>
    <w:semiHidden/>
    <w:unhideWhenUsed/>
    <w:pPr>
      <w:pBdr/>
      <w:spacing/>
      <w:ind/>
    </w:pPr>
  </w:style>
  <w:style w:type="paragraph" w:styleId="907">
    <w:name w:val="Title"/>
    <w:qFormat/>
    <w:pPr>
      <w:pBdr/>
      <w:spacing/>
      <w:ind/>
    </w:pPr>
    <w:rPr>
      <w:sz w:val="56"/>
      <w:szCs w:val="56"/>
    </w:rPr>
  </w:style>
  <w:style w:type="paragraph" w:styleId="908" w:customStyle="1">
    <w:name w:val="Naglašeno1"/>
    <w:qFormat/>
    <w:pPr>
      <w:pBdr/>
      <w:spacing/>
      <w:ind/>
    </w:pPr>
    <w:rPr>
      <w:b/>
      <w:bCs/>
    </w:rPr>
  </w:style>
  <w:style w:type="paragraph" w:styleId="909">
    <w:name w:val="List Paragraph"/>
    <w:qFormat/>
    <w:pPr>
      <w:pBdr/>
      <w:spacing/>
      <w:ind/>
    </w:pPr>
  </w:style>
  <w:style w:type="character" w:styleId="910">
    <w:name w:val="Hyperlink"/>
    <w:uiPriority w:val="99"/>
    <w:unhideWhenUsed/>
    <w:pPr>
      <w:pBdr/>
      <w:spacing/>
      <w:ind/>
    </w:pPr>
    <w:rPr>
      <w:color w:val="0563c1"/>
      <w:u w:val="single"/>
    </w:rPr>
  </w:style>
  <w:style w:type="character" w:styleId="911">
    <w:name w:val="footnote reference"/>
    <w:uiPriority w:val="99"/>
    <w:semiHidden/>
    <w:unhideWhenUsed/>
    <w:pPr>
      <w:pBdr/>
      <w:spacing/>
      <w:ind/>
    </w:pPr>
    <w:rPr>
      <w:vertAlign w:val="superscript"/>
    </w:rPr>
  </w:style>
  <w:style w:type="paragraph" w:styleId="912">
    <w:name w:val="footnote text"/>
    <w:link w:val="913"/>
    <w:uiPriority w:val="99"/>
    <w:semiHidden/>
    <w:unhideWhenUsed/>
    <w:pPr>
      <w:pBdr/>
      <w:spacing/>
      <w:ind/>
    </w:pPr>
    <w:rPr>
      <w:sz w:val="20"/>
      <w:szCs w:val="20"/>
    </w:rPr>
  </w:style>
  <w:style w:type="character" w:styleId="913" w:customStyle="1">
    <w:name w:val="Tekst fusnote Char"/>
    <w:link w:val="912"/>
    <w:uiPriority w:val="99"/>
    <w:semiHidden/>
    <w:unhideWhenUsed/>
    <w:pPr>
      <w:pBdr/>
      <w:spacing/>
      <w:ind/>
    </w:pPr>
    <w:rPr>
      <w:sz w:val="20"/>
      <w:szCs w:val="20"/>
    </w:rPr>
  </w:style>
  <w:style w:type="character" w:styleId="914">
    <w:name w:val="endnote reference"/>
    <w:uiPriority w:val="99"/>
    <w:semiHidden/>
    <w:unhideWhenUsed/>
    <w:pPr>
      <w:pBdr/>
      <w:spacing/>
      <w:ind/>
    </w:pPr>
    <w:rPr>
      <w:vertAlign w:val="superscript"/>
    </w:rPr>
  </w:style>
  <w:style w:type="paragraph" w:styleId="915">
    <w:name w:val="endnote text"/>
    <w:link w:val="916"/>
    <w:uiPriority w:val="99"/>
    <w:semiHidden/>
    <w:unhideWhenUsed/>
    <w:pPr>
      <w:pBdr/>
      <w:spacing/>
      <w:ind/>
    </w:pPr>
    <w:rPr>
      <w:sz w:val="20"/>
      <w:szCs w:val="20"/>
    </w:rPr>
  </w:style>
  <w:style w:type="character" w:styleId="916" w:customStyle="1">
    <w:name w:val="Tekst krajnje bilješke Char"/>
    <w:link w:val="915"/>
    <w:uiPriority w:val="99"/>
    <w:semiHidden/>
    <w:unhideWhenUsed/>
    <w:pPr>
      <w:pBdr/>
      <w:spacing/>
      <w:ind/>
    </w:pPr>
    <w:rPr>
      <w:sz w:val="20"/>
      <w:szCs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ONLYOFFICE/9.4.0.129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revision>4</cp:revision>
  <dcterms:created xsi:type="dcterms:W3CDTF">2026-08-12T05:11:00Z</dcterms:created>
  <dcterms:modified xsi:type="dcterms:W3CDTF">2026-08-27T10:55:07Z</dcterms:modified>
</cp:coreProperties>
</file>